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Bakanlıktan Belediyeye: Vatandaş ve İşletmeler İçin Suriye’nin İdari Haritası</w:t>
      </w:r>
    </w:p>
    <w:p>
      <w:pPr/>
      <w:r>
        <w:rPr>
          <w:i/>
          <w:color w:val="64736B"/>
        </w:rPr>
        <w:t>Bsouria · 2026-10-23</w:t>
      </w:r>
    </w:p>
    <w:p>
      <w:pPr>
        <w:spacing w:after="220"/>
      </w:pPr>
      <w:r>
        <w:rPr>
          <w:i/>
        </w:rPr>
        <w:t>Suriye’de bakanlık, il, ilçe, nahiye ve belediye ayrımlarını öğrenin; doğru başvuru birimini, güncel hizmet şartlarını ve şikâyet yolunu nasıl bulacağınızı görün.</w:t>
      </w:r>
    </w:p>
    <w:p>
      <w:pPr>
        <w:spacing w:after="140"/>
      </w:pPr>
      <w:r>
        <w:rPr>
          <w:sz w:val="24"/>
          <w:szCs w:val="24"/>
        </w:rPr>
        <w:t xml:space="preserve">Şam’ın panoramik görünümü, 2008 tarihli arşiv fotoğrafı — Vyacheslav Argenberg / Wikimedia Commons · CC BY 4.0. Kırpılıp boyutlandırıldı; güncel durumu kanıtlamaz.</w:t>
      </w:r>
    </w:p>
    <w:p>
      <w:pPr>
        <w:spacing w:after="140"/>
      </w:pPr>
      <w:r>
        <w:rPr>
          <w:sz w:val="24"/>
          <w:szCs w:val="24"/>
        </w:rPr>
        <w:t xml:space="preserve">Editoryal ve kaynak incelemesi: 23 Ekim 2026. Yazılı kural ile uygulamayı ayıran genel yurttaşlık rehberi; her dosyanın güncel usulünü doğrulayın.</w:t>
      </w:r>
    </w:p>
    <w:p>
      <w:pPr>
        <w:spacing w:after="140"/>
      </w:pPr>
      <w:r>
        <w:rPr>
          <w:sz w:val="24"/>
          <w:szCs w:val="24"/>
        </w:rPr>
        <w:t xml:space="preserve">Basit bir başvuru, bakanlık, müdürlük, il yönetimi ve belediye aynı kurum gibi düşünüldüğünde uzun yolculuğa dönüşebilir. Biri valiliğe, diğeri şubeye yönlendirir; belgeyi kimin verebildiği hâlâ belirsiz kalır. Eksik bilgi her zaman yetkilinin adı değildir. Yaşadığınız yer, hizmetten sorumlu kurum ve kararı vermeye yetkili birim arasındaki farktır. Bu ayrımı bilmek, vatandaşın da işletmecinin de doğru soruyla başlamasını sağlar. Kurumun tanınmış olması bütün işlemleri yapabildiği anlamına gelmez.</w:t>
      </w:r>
    </w:p>
    <w:p>
      <w:pPr>
        <w:spacing w:after="140"/>
      </w:pPr>
      <w:r>
        <w:rPr>
          <w:sz w:val="24"/>
          <w:szCs w:val="24"/>
        </w:rPr>
        <w:t xml:space="preserve">23 Ekim 2026 tarihinde incelenen rehber, cumhurbaşkanlığı, meclis ve yargı yazımızı tamamlar. Burada günlük hizmetler ve idare üzerinde duruyoruz. Yapılar değişmekte, erişim koşulları bölgelere göre farklılaşabilmektedir. Doğrulanmamış telefonlar yayımlamıyor, her yerde aynı ücret veya süreyi vaat etmiyoruz. Dijital hizmetin duyurulması, hemen her ilde kullanılabildiğini göstermez. Bu harita, belirli başvurunun güncel yolunu bulmaya yardımcı olur; her dosyaya aynı sonuç ve işlem sırası sunmaz.</w:t>
      </w:r>
    </w:p>
    <w:p>
      <w:pPr>
        <w:spacing w:after="140"/>
      </w:pPr>
      <w:r>
        <w:rPr>
          <w:sz w:val="24"/>
          <w:szCs w:val="24"/>
        </w:rPr>
        <w:t xml:space="preserve">SoruBelirlenecek konuHizmet ne?Yetkili sektör: eğitim, sağlık, maliye veya başka alanKonusu nerede?Resmî adres ve uygun idari bağlılıkKim alıyor?Hizmet merkezi, müdürlük veya yetkili kabul birimiKim karar veriyor?Başvuruyu alandan farklı olabilen yetkili makam</w:t>
      </w:r>
    </w:p>
    <w:p>
      <w:pPr>
        <w:spacing w:after="140"/>
      </w:pPr>
      <w:r>
        <w:rPr>
          <w:sz w:val="24"/>
          <w:szCs w:val="24"/>
        </w:rPr>
        <w:t xml:space="preserve">İki harita birlikte okunmalı: sektör ve yer</w:t>
      </w:r>
    </w:p>
    <w:p>
      <w:pPr>
        <w:spacing w:after="140"/>
      </w:pPr>
      <w:r>
        <w:rPr>
          <w:sz w:val="24"/>
          <w:szCs w:val="24"/>
        </w:rPr>
        <w:t xml:space="preserve">İlk harita sektöreldir: sağlık, eğitim, maliye, tarım, ekonomik işler ve diğer sorumluluklar. Hizmetin konusunu sorar. İkinci harita coğrafidir: iller, ilçeler ve nahiyeler; bunlarla birlikte şehir, kasaba, belediye ve mahalleler. Taşınmazın, faaliyetin, kaydın veya hizmetin yerini belirler. İki harita kesişir. İl sınırı içinde bulunan sektörel müdürlük, sırf konumu nedeniyle valinin özel bürosu veya belediyenin birimi olmaz. Coğrafi adres, hukuki görevi tek başına anlatmaz.</w:t>
      </w:r>
    </w:p>
    <w:p>
      <w:pPr>
        <w:spacing w:after="140"/>
      </w:pPr>
      <w:r>
        <w:rPr>
          <w:sz w:val="24"/>
          <w:szCs w:val="24"/>
        </w:rPr>
        <w:t xml:space="preserve">Örnek olarak şehirdeki hastanenin her dosyasını şehir meclisinin yönettiğini düşünmeyin. Maliye müdürlüğü ile belediye aynı nüfusa hizmet verse de aynı kurum değildir. Talebin konusunu, yerini ve beklenen belgeyi yazın. Ardından başvuruyu alan birim ile sonucu çıkaran makamı ayırın. Hizmet merkezi dosyayı başka kuruma aktarabilir; bu nedenle gişenin kendisi nihai karar sahibi olmayabilir. Kimin kayıt tuttuğunu ve kimin imza attığını bilmek gereksiz yönlendirmeleri azaltır.</w:t>
      </w:r>
    </w:p>
    <w:p>
      <w:pPr>
        <w:spacing w:after="140"/>
      </w:pPr>
      <w:r>
        <w:rPr>
          <w:sz w:val="24"/>
          <w:szCs w:val="24"/>
        </w:rPr>
        <w:t xml:space="preserve">Suriye’nin on dört ili</w:t>
      </w:r>
    </w:p>
    <w:p>
      <w:pPr>
        <w:spacing w:after="140"/>
      </w:pPr>
      <w:r>
        <w:rPr>
          <w:sz w:val="24"/>
          <w:szCs w:val="24"/>
        </w:rPr>
        <w:t xml:space="preserve">Yerleşik idari harita Şam, Şam Kırsalı, Halep, Humus, Hama, Lazkiye, Tartus, İdlib, Dera, Süveyda, Kuneytra, Deyrizor, Rakka ve Haseke’den oluşur. Bu liste önem veya nüfus sıralaması değildir. Kamu kurumlarına fiilî erişimin haritası olarak da okunmamalıdır. Yalnızca il düzeyindeki bölünmeyi gösterir. Belirli dairenin güncel adresi, çalışma kanalı ve erişilebilirliği ayrıca araştırılmalıdır. Yer değiştiren bina veya değişen uygulama, genel il adından anlaşılmaz.</w:t>
      </w:r>
    </w:p>
    <w:p>
      <w:pPr>
        <w:spacing w:after="140"/>
      </w:pPr>
      <w:r>
        <w:rPr>
          <w:sz w:val="24"/>
          <w:szCs w:val="24"/>
        </w:rPr>
        <w:t xml:space="preserve">Şam ile Şam Kırsalı farklı illerdir. Halep ve Humus gibi adlar gündelik konuşmada şehir veya daha geniş il anlamına gelebilir. Bu belirsizlik sözleşmede önemlidir. Taşınmaz, en yakın tanınmış şehrin adıyla pazarlanabilir fakat başka idari kapsama girebilir. Resmî konumu, yerel idareyi ve gerekiyorsa taşınmaz referanslarını eşleştirin. Haritadaki en yakın şehirden hareketle tapu veya ruhsat dairesini belirlemeyin. Ticari anlatımın kolaylığı, resmî adres yerine kullanılmamalıdır.</w:t>
      </w:r>
    </w:p>
    <w:p>
      <w:pPr>
        <w:spacing w:after="140"/>
      </w:pPr>
      <w:r>
        <w:rPr>
          <w:sz w:val="24"/>
          <w:szCs w:val="24"/>
        </w:rPr>
        <w:t xml:space="preserve">Her adres aynı kutulardan geçmez</w:t>
      </w:r>
    </w:p>
    <w:p>
      <w:pPr>
        <w:spacing w:after="140"/>
      </w:pPr>
      <w:r>
        <w:rPr>
          <w:sz w:val="24"/>
          <w:szCs w:val="24"/>
        </w:rPr>
        <w:t xml:space="preserve">İl, ilçe ve nahiye genel coğrafi sıralamayı anlatır. Şehir, kasaba ve belediye bunlara eklenen, her adresin aynı biçimde geçtiği tek zincir değildir. Form bütün alanları istiyor diye olmayan ilçe veya nahiye uydurmayın. Adrese uygun resmî bilgiyi kullanın; istisnanın nasıl kaydedileceğini sorun. İlk anda kolaylık sağlayan yanlış değer, sözleşmeye, belgeye ve müşteri dosyasına taşınabilir. Sonraki düzeltme, başta doğru soruyu sormaktan daha zor ve maliyetli olabilir.</w:t>
      </w:r>
    </w:p>
    <w:p>
      <w:pPr>
        <w:spacing w:after="140"/>
      </w:pPr>
      <w:r>
        <w:rPr>
          <w:sz w:val="24"/>
          <w:szCs w:val="24"/>
        </w:rPr>
        <w:t xml:space="preserve">İlçe, nahiye ve yerel idari birim</w:t>
      </w:r>
    </w:p>
    <w:p>
      <w:pPr>
        <w:spacing w:after="140"/>
      </w:pPr>
      <w:r>
        <w:rPr>
          <w:sz w:val="24"/>
          <w:szCs w:val="24"/>
        </w:rPr>
        <w:t xml:space="preserve">Coğrafi bölünmeler ile yerel birim türlerini ayıran şema</w:t>
      </w:r>
    </w:p>
    <w:p>
      <w:pPr>
        <w:spacing w:after="140"/>
      </w:pPr>
      <w:r>
        <w:rPr>
          <w:sz w:val="24"/>
          <w:szCs w:val="24"/>
        </w:rPr>
        <w:t xml:space="preserve">2011 tarihli 107 sayılı Yerel İdare Kanunu, coğrafi bölünmelerle idari birimleri ayırır. İllerin ilçelere, ilçelerin nahiyelere; şehir, kasaba ve belediyelerin mahallelere ayrılmasını düzenler. Ayrıca tüzel kişilik taşıyan birimleri tanımlar. Dolayısıyla ilçe belediyenin başka adı, mahalle de küçük bir il değildir. Sınır, ad ve bağlılık hukuki işlemlerle belirlenir ve değişebilir. Yerel kullanımın resmî kayıttan ayrıldığı durumda dayanak belge aranmalıdır; alışılmış ad tek başına kesin kanıt sayılmaz. [kaynak]</w:t>
      </w:r>
    </w:p>
    <w:p>
      <w:pPr>
        <w:spacing w:after="140"/>
      </w:pPr>
      <w:r>
        <w:rPr>
          <w:sz w:val="24"/>
          <w:szCs w:val="24"/>
        </w:rPr>
        <w:t xml:space="preserve">Kanuna burada, Haziran 2026’da yayımlanan resmî açıklamada dayanak gösterildiği için başvuruyoruz; eski atama ifadelerinin bugünkü bütün uygulamayı eksiksiz anlattığını iddia etmiyoruz. Nisan 2026’da bakanlık yeniden düzenleme çalışmalarından söz etmiştir. Reform duyurusu, yeni kanunun yürürlüğe girdiğini kanıtlamaz. Belirli eski hükme dayanırken sonraki değişiklikleri, örgütlenme kararlarını ve yetki devirlerini araştırın. Özellikle geçişte değişen bir unvanın yer aldığı hükmü, bugünkü kuruma kendiliğinizden uyarlamayın. [kaynak]</w:t>
      </w:r>
    </w:p>
    <w:p>
      <w:pPr>
        <w:spacing w:after="140"/>
      </w:pPr>
      <w:r>
        <w:rPr>
          <w:sz w:val="24"/>
          <w:szCs w:val="24"/>
        </w:rPr>
        <w:t xml:space="preserve">Vali, yerel meclis ve müdürlük farklıdır</w:t>
      </w:r>
    </w:p>
    <w:p>
      <w:pPr>
        <w:spacing w:after="140"/>
      </w:pPr>
      <w:r>
        <w:rPr>
          <w:sz w:val="24"/>
          <w:szCs w:val="24"/>
        </w:rPr>
        <w:t xml:space="preserve">Vali il düzeyindeki makamdır; yerel meclisin örgütlenmesine göre görevleri vardır; müdürlük sektörel veya hizmet sorumluluğunu kendi çerçevesinde yürütür. Temsilcileri aynı toplantıya katılabilir, fakat bu yetkileri birleştirmez. Kayıt belirli kurumdaysa, koordinasyon bürosu daha üstte göründüğü için o belgeyi çıkarma yetkisini otomatik kazanmaz. Asıl dosyayı kimin tuttuğunu ve sonucu kimin imzalayabileceğini sorun. İhtiyaç bazen daha yüksek makam değil, gerçekten yetkili birimdir.</w:t>
      </w:r>
    </w:p>
    <w:p>
      <w:pPr>
        <w:spacing w:after="140"/>
      </w:pPr>
      <w:r>
        <w:rPr>
          <w:sz w:val="24"/>
          <w:szCs w:val="24"/>
        </w:rPr>
        <w:t xml:space="preserve">İl meclisi, şehir meclisi ve yürütme bürosu da aynı adlar değildir. Geçiş sırasında her bölgedeki her yerel meclisin aynı yöntemle oluştuğunu burada ileri sürmüyoruz; güncel yerel kararlara ihtiyaç vardır. Temel ayrım açıktır: yerel meclis ulusal Halk Meclisi değildir. Adında meclis bulunması ulusal kanun yapma veya özel uyuşmazlıkta mahkeme kararı verme yetkisi doğurmaz. Kurumun sınırını bilmek, cevap verebileceği biçimde talep oluşturmayı kolaylaştırır.</w:t>
      </w:r>
    </w:p>
    <w:p>
      <w:pPr>
        <w:spacing w:after="140"/>
      </w:pPr>
      <w:r>
        <w:rPr>
          <w:sz w:val="24"/>
          <w:szCs w:val="24"/>
        </w:rPr>
        <w:t xml:space="preserve">Bakanlık, sektörün tek gişesi değildir</w:t>
      </w:r>
    </w:p>
    <w:p>
      <w:pPr>
        <w:spacing w:after="140"/>
      </w:pPr>
      <w:r>
        <w:rPr>
          <w:sz w:val="24"/>
          <w:szCs w:val="24"/>
        </w:rPr>
        <w:t xml:space="preserve">Görevler merkez teşkilatı, yerel müdürlük, kamu kuruluşu ve özel örgütlenmesi bulunan kurumlar arasında dağılabilir. Önemli bir kamu kurumu mutlaka bakanlık veya belediye şubesi değildir. Yolculuk yapmadan güncel hizmet rehberini bulun; başvurunun merkezî, yerel, devredilmiş veya hizmet merkezinden alınan işlem olup olmadığını resmî kanaldan sorun. Teslimin nasıl kanıtlandığını ve sonraki aşamayı kimin yürüttüğünü öğrenin. Başvurunun alındığı yer ile kararın çıktığı yer farklı olabilir.</w:t>
      </w:r>
    </w:p>
    <w:p>
      <w:pPr>
        <w:spacing w:after="140"/>
      </w:pPr>
      <w:r>
        <w:rPr>
          <w:sz w:val="24"/>
          <w:szCs w:val="24"/>
        </w:rPr>
        <w:t xml:space="preserve">Kurumu yöneten kişiden ayırın. Bakan değişirken işlem aynı dairede kalabilir; örgüt değişirken eski ad halk arasında kullanılabilir. Bu yüzden görev, başvuru yolu ve imza yetkisini anlamak, isim ezberinden yararlıdır. Tarihli atama belgesi güncel kişiyi; hizmet talimatı işlemin nasıl yapılacağını açıklar. Tek belge her soruyu çözmez. Bir kişinin görevde bulunması ile belirli dosyayı onun bizzat sonuçlandırması gerektiği arasında da otomatik ilişki kurulmamalıdır.</w:t>
      </w:r>
    </w:p>
    <w:p>
      <w:pPr>
        <w:spacing w:after="140"/>
      </w:pPr>
      <w:r>
        <w:rPr>
          <w:sz w:val="24"/>
          <w:szCs w:val="24"/>
        </w:rPr>
        <w:t xml:space="preserve">Kimlik ve konsolosluk işlemleri</w:t>
      </w:r>
    </w:p>
    <w:p>
      <w:pPr>
        <w:spacing w:after="140"/>
      </w:pPr>
      <w:r>
        <w:rPr>
          <w:sz w:val="24"/>
          <w:szCs w:val="24"/>
        </w:rPr>
        <w:t xml:space="preserve">Kamu işleminin birimini ve takibini belirleyen altı soru</w:t>
      </w:r>
    </w:p>
    <w:p>
      <w:pPr>
        <w:spacing w:after="140"/>
      </w:pPr>
      <w:r>
        <w:rPr>
          <w:sz w:val="24"/>
          <w:szCs w:val="24"/>
        </w:rPr>
        <w:t xml:space="preserve">Kimlik, nüfus kaydı, pasaport veya ikamet konusunda içişleri alanındaki yetkili hizmeti ya da güncel olarak görevlendirilmiş kurumu araştırın. Belgeyi yurt dışında kullanmak, ilk çıkarılmasından farklı tasdik veya tanıma adımları gerektirebilir. Özel aracının reklamı, kişinin hazır bulunması veya belge şartlarının kaldırılabildiğini kanıtlamaz. Kişisel evrak vermeden rolünü ve resmî ödeme yolunu doğrulayın. Kolaylık sözü ile yetkili temsil aynı şey değildir; hangi işlemi yapacağını açıkça belirtmesini isteyin.</w:t>
      </w:r>
    </w:p>
    <w:p>
      <w:pPr>
        <w:spacing w:after="140"/>
      </w:pPr>
      <w:r>
        <w:rPr>
          <w:sz w:val="24"/>
          <w:szCs w:val="24"/>
        </w:rPr>
        <w:t xml:space="preserve">Dışişleri tasdiki, konsolosluk hizmeti ve alıcı kurumun belgeyi kabul etmesi farklı aşamalardır. Belgenin nerede üretildiğini ve nerede kullanılacağını belirleyin; şartları ilgili makam ve alıcıdan kontrol edin. Her ülke ve belge için tek sıra yoktur. Bu bir doğrulama yöntemidir, herkesin tamamlaması gereken evrensel mühür listesi değildir. Gereksiz tercüme veya tasdik de eksik belge kadar zaman kaybettirebilir. Amaç en çok belgeyi toplamak değil, gerekli işlemi doğru tamamlamaktır.</w:t>
      </w:r>
    </w:p>
    <w:p>
      <w:pPr>
        <w:spacing w:after="140"/>
      </w:pPr>
      <w:r>
        <w:rPr>
          <w:sz w:val="24"/>
          <w:szCs w:val="24"/>
        </w:rPr>
        <w:t xml:space="preserve">Eğitim, sağlık ve sosyal hizmetler</w:t>
      </w:r>
    </w:p>
    <w:p>
      <w:pPr>
        <w:spacing w:after="140"/>
      </w:pPr>
      <w:r>
        <w:rPr>
          <w:sz w:val="24"/>
          <w:szCs w:val="24"/>
        </w:rPr>
        <w:t xml:space="preserve">Okul işlemi, üniversite kabulü ve diploma tanıma aynı başvuru değildir. Öğrenim düzeyini, yılı ve başvuru kategorisini belirleyin. Üniversite, müdürlük veya kayıt merkezi başlangıç olabilir. Resmî logoya benzeyen hesabın istediği yere belge yüklemeden kanalı bağımsız biçimde doğrulayın. Başvuru, talimat ve cevapları saklayın. Hangi sürümün ve hangi tarihli duyurunun size uygulandığı önemlidir; önceki yılın koşulları yeni dönemde aynı kabul edilmemelidir.</w:t>
      </w:r>
    </w:p>
    <w:p>
      <w:pPr>
        <w:spacing w:after="140"/>
      </w:pPr>
      <w:r>
        <w:rPr>
          <w:sz w:val="24"/>
          <w:szCs w:val="24"/>
        </w:rPr>
        <w:t xml:space="preserve">Sağlık alanı tedavi, mesleki düzenleme, kurum ve hastane içerebilir. Randevu sorunu meslek ruhsatı uyuşmazlığı değildir. Çalışma, sosyal program ve sigorta konularında da uygunluk, prim, iş ilişkisi, tıbbi değerlendirme veya idari karar ayrılmalıdır. Her biri farklı yol açabilir. Genel açıklama, kişinin hak sahibi olduğunu veya ödeme tarihini kanıtlamaz. Programın güncel kurallarını kontrol edin; yararlanıcının özel dosyasını sosyal medyada paylaşmak, hizmete erişimin zorunlu parçası olarak görülmemelidir.</w:t>
      </w:r>
    </w:p>
    <w:p>
      <w:pPr>
        <w:spacing w:after="140"/>
      </w:pPr>
      <w:r>
        <w:rPr>
          <w:sz w:val="24"/>
          <w:szCs w:val="24"/>
        </w:rPr>
        <w:t xml:space="preserve">Ekonomik görevler ve yakın tarihli değişiklik</w:t>
      </w:r>
    </w:p>
    <w:p>
      <w:pPr>
        <w:spacing w:after="140"/>
      </w:pPr>
      <w:r>
        <w:rPr>
          <w:sz w:val="24"/>
          <w:szCs w:val="24"/>
        </w:rPr>
        <w:t xml:space="preserve">Maliye, ekonomi, sanayi, ticaret, tarım ve enerji aynı faaliyette kesişebilir. 19 Ekim 2026’da yayımlanan 189 sayılı kararname, Basel Abdülaziz Abdülhannan’ı sanayi, iç ticaret ve tüketicinin korunmasından sorumlu bakan olarak atamıştır. Sadece Mart 2025 hükümet listesine dayanmak bu gelişmeyi kaçırır. Bununla birlikte kısa atama metni her müdürlük, kuruluş, personel ve bütçenin nasıl aktarılacağını ayrıntılı biçimde açıklamaz. Yeni isim, bütün örgütlenme sorularının cevabı değildir. [kaynak]</w:t>
      </w:r>
    </w:p>
    <w:p>
      <w:pPr>
        <w:spacing w:after="140"/>
      </w:pPr>
      <w:r>
        <w:rPr>
          <w:sz w:val="24"/>
          <w:szCs w:val="24"/>
        </w:rPr>
        <w:t xml:space="preserve">Portföy adını, tam görev dağılımından ayırın. Ticari dosyada güncel talimatı sorun; unvan değişti diye bütün hizmetlerin aynı gün durduğunu veya taşındığını varsaymayın. Maliye, sanayi veya tüketici koruması gibi alanlar araştırmaya başlangıç sağlar, işletme için genel faaliyet izni vermez. Gerçek kurum ve şartlar, faaliyetin türüne, yerine ve o hizmeti düzenleyen güncel işlemlere bağlıdır. Özellikle yatırım kararı öncesinde duyuru ile uygulama belgesinin kapsamını ayrı değerlendirin.</w:t>
      </w:r>
    </w:p>
    <w:p>
      <w:pPr>
        <w:spacing w:after="140"/>
      </w:pPr>
      <w:r>
        <w:rPr>
          <w:sz w:val="24"/>
          <w:szCs w:val="24"/>
        </w:rPr>
        <w:t xml:space="preserve">Diğer bakanlık alanlarını nasıl okuyabiliriz?</w:t>
      </w:r>
    </w:p>
    <w:p>
      <w:pPr>
        <w:spacing w:after="140"/>
      </w:pPr>
      <w:r>
        <w:rPr>
          <w:sz w:val="24"/>
          <w:szCs w:val="24"/>
        </w:rPr>
        <w:t xml:space="preserve">Hama’da su çarkı, 2010 tarihli arşiv fotoğrafı — Bernard Gagnon / Wikimedia Commons · CC BY-SA 3.0. Kırpılıp boyutlandırıldı; güncel durumu kanıtlamaz.</w:t>
      </w:r>
    </w:p>
    <w:p>
      <w:pPr>
        <w:spacing w:after="140"/>
      </w:pPr>
      <w:r>
        <w:rPr>
          <w:sz w:val="24"/>
          <w:szCs w:val="24"/>
        </w:rPr>
        <w:t xml:space="preserve">Öğrenme amacıyla alanları gruplamak, yeni resmî bakanlıklar yaratmak değildir. İçişleri, savunma, dışişleri ve adalet farklı egemenlik ve sivil görevler taşır. Eğitim ve sosyal alanlarda okul eğitimi, yükseköğretim ve araştırma, sağlık, sosyal işler ve çalışma, spor ve gençlik yer alır. Bu öğretici gruplar başvuru makamı değildir. Belirli hizmet, dosyayı kimin alacağını belirler. Konu yakınlığı, bir bakanlığın diğerinin belgesini çıkarabildiğini veya kararını değiştirebildiğini göstermez.</w:t>
      </w:r>
    </w:p>
    <w:p>
      <w:pPr>
        <w:spacing w:after="140"/>
      </w:pPr>
      <w:r>
        <w:rPr>
          <w:sz w:val="24"/>
          <w:szCs w:val="24"/>
        </w:rPr>
        <w:t xml:space="preserve">Ekonomi ve altyapıda maliye, ekonomik işler, yeni adlandırılan sanayi-ticaret portföyü, tarım, enerji, ulaştırma, iletişim ve bilgi teknolojileri, bayındırlık ve konut bulunur. Yerel idare ve çevre, idari gelişim, acil durum ve afet yönetimi, kültür, turizm, enformasyon ve vakıfların da ayrı konuları vardır. Bu genel görünüm kesin bakanlık sayısı veya dosya aktarım takvimi değildir. Sorumluluk değişiyorsa en yeni örgütlenme belgesine bakın; geçmiş listeyi güncel ve değişmez diye sunmayın.</w:t>
      </w:r>
    </w:p>
    <w:p>
      <w:pPr>
        <w:spacing w:after="140"/>
      </w:pPr>
      <w:r>
        <w:rPr>
          <w:sz w:val="24"/>
          <w:szCs w:val="24"/>
        </w:rPr>
        <w:t xml:space="preserve">Kurumlar, üniversiteler ve kamu şirketleri</w:t>
      </w:r>
    </w:p>
    <w:p>
      <w:pPr>
        <w:spacing w:after="140"/>
      </w:pPr>
      <w:r>
        <w:rPr>
          <w:sz w:val="24"/>
          <w:szCs w:val="24"/>
        </w:rPr>
        <w:t xml:space="preserve">İhtiyacınız olan kuruluş, kendi kanunu bulunan kurum, üniversite, kamu işletmesi veya şirket olabilir. Önemli diye onu bakanlık olarak yeniden adlandırmayın. Her çalışanının kuruluş adına imza atabileceğini de düşünmeyin. Sözleşmede tüzel kişiliği, temsil yetkisini ve gerekli delegasyonu doğrulayın. Gerçek tarafın kimliği ve bildirim adresi, girişte görülen tanınmış ad kadar önemlidir. Ticari unvanın kamusal görünmesi, belgelenmemiş bir kişinin taahhüdünü otomatik olarak devlete bağlamaz.</w:t>
      </w:r>
    </w:p>
    <w:p>
      <w:pPr>
        <w:spacing w:after="140"/>
      </w:pPr>
      <w:r>
        <w:rPr>
          <w:sz w:val="24"/>
          <w:szCs w:val="24"/>
        </w:rPr>
        <w:t xml:space="preserve">Altyapı hizmetinde işletmeciyi de bulun</w:t>
      </w:r>
    </w:p>
    <w:p>
      <w:pPr>
        <w:spacing w:after="140"/>
      </w:pPr>
      <w:r>
        <w:rPr>
          <w:sz w:val="24"/>
          <w:szCs w:val="24"/>
        </w:rPr>
        <w:t xml:space="preserve">Su, enerji, iletişim, ulaşım ve bayındırlık farklı kurum, şirket, müdürlük ve işletmeciler üzerinden yürüyebilir. Hizmet sağlayıcısını ve doğrulanmış bildirim kanalını belirleyin. Şehir caddesinin altındaki arıza, belediyeyi ağın işletmecisi yapmaz. Başka kurum bakım yaparken yerel idare trafik, kazı veya güvenlik için koordinasyon sağlayabilir. Aynı mekânda birkaç görev bulunması normaldir; bu görevlerin tek makamda toplandığı sonucu çıkarılmamalıdır. Şikâyetin konusu, ihtiyaç duyulan yetkiyi belirlemelidir.</w:t>
      </w:r>
    </w:p>
    <w:p>
      <w:pPr>
        <w:spacing w:after="140"/>
      </w:pPr>
      <w:r>
        <w:rPr>
          <w:sz w:val="24"/>
          <w:szCs w:val="24"/>
        </w:rPr>
        <w:t xml:space="preserve">Net arıza bildirimi, birçok kuruma gönderilen belirsiz mesajdan yararlıdır. Gereken konumu, başlangıç zamanını ve sorunun niteliğini aktarın; gereksiz özel bilgi vermeyin. Varsa takip numarası isteyin, tarihleri kaydedin. Çalışanın sözlü tahminini resmî onarım garantisine çevirmeyin. İşletme, koordinasyon ve şikâyet takibi ayrıldığında mesajın müdahale edebilen kişiye ulaşması kolaylaşır. Verilen cevap da hangi aşamayı açıkladığı bilinerek değerlendirilir; kayıt açılması işin tamamlanması demek değildir.</w:t>
      </w:r>
    </w:p>
    <w:p>
      <w:pPr>
        <w:spacing w:after="140"/>
      </w:pPr>
      <w:r>
        <w:rPr>
          <w:sz w:val="24"/>
          <w:szCs w:val="24"/>
        </w:rPr>
        <w:t xml:space="preserve">Yerel izin, mülkiyet belgesi değildir</w:t>
      </w:r>
    </w:p>
    <w:p>
      <w:pPr>
        <w:spacing w:after="140"/>
      </w:pPr>
      <w:r>
        <w:rPr>
          <w:sz w:val="24"/>
          <w:szCs w:val="24"/>
        </w:rPr>
        <w:t xml:space="preserve">Yerel idare planlama, kamusal alan, hizmet ve kendi görevindeki izinlerle ilgilenebilir. Yapı ruhsatı tapu değildir; kullanım izni arazi mülkiyetini kanıtlamaz; harç ödemek başka teknik onayı kaldırmaz. Dükkân düzenlemeden önce taşınmazı kullanma hakkı ile orada belirli işi yapma iznini ayırın. Büyük harcamadan şartları inceleyin. Mülk sahibinin ticari sözü yetkili kurumun izin belgesi yerine geçmez; sözleşmede izin sorumluluğu ve alınamaması durumunun sonucu açık olmalıdır.</w:t>
      </w:r>
    </w:p>
    <w:p>
      <w:pPr>
        <w:spacing w:after="140"/>
      </w:pPr>
      <w:r>
        <w:rPr>
          <w:sz w:val="24"/>
          <w:szCs w:val="24"/>
        </w:rPr>
        <w:t xml:space="preserve">Haziran 2026’da SANA, 107 sayılı kanun ve yerel yetkiler bağlamında bazı yapı düzeni değişikliklerini durduran eski genelgenin kaldırıldığını duyurdu. Örnek, değişikliğin kapsamını okumayı öğretir. Belirli engelin kalkması bütün yapı şartlarını kaldırmaz, her projeye izin vermez. Plan, geçerli düzenleme ve kişisel dosya incelenmelidir. Kolaylaştırma başlığını, metinde bulunmayan bir hak garantisine dönüştürmeyin. Açıklamanın amacı ile hukuken kurduğu sonuç aynı kapsamda olmayabilir. [kaynak]</w:t>
      </w:r>
    </w:p>
    <w:p>
      <w:pPr>
        <w:spacing w:after="140"/>
      </w:pPr>
      <w:r>
        <w:rPr>
          <w:sz w:val="24"/>
          <w:szCs w:val="24"/>
        </w:rPr>
        <w:t xml:space="preserve">Başvurudan önce altı soru</w:t>
      </w:r>
    </w:p>
    <w:p>
      <w:pPr>
        <w:spacing w:after="140"/>
      </w:pPr>
      <w:r>
        <w:rPr>
          <w:sz w:val="24"/>
          <w:szCs w:val="24"/>
        </w:rPr>
        <w:t xml:space="preserve">Hizmetin tam adı ne? Konusu hangi yerde? Kim alıyor, kim karar veriyor? Güncel belgeler neler? Resmî ücret ve ödeme kanıtı ne? Sonuç nasıl izleniyor veya inceleniyor? Cevapları kontrol tarihiyle kaydedin. Rehber yoksa tekrar bakabileceğiniz resmî kanaldan açıklama isteyin. Uyguladığınız işlem sürümünün koşullarını saklayın. Başvuru sırasında yeni belge istenirse nedenini, adını ve hizmetle bağlantısını sorun. Bu, hazırlığın hangi noktada değiştiğini anlamaya yardım eder.</w:t>
      </w:r>
    </w:p>
    <w:p>
      <w:pPr>
        <w:spacing w:after="140"/>
      </w:pPr>
      <w:r>
        <w:rPr>
          <w:sz w:val="24"/>
          <w:szCs w:val="24"/>
        </w:rPr>
        <w:t xml:space="preserve">Her hizmetin kusursuz bilgi veya anında cevap verdiğini varsaymıyoruz. Amaç anlaşılır dosya oluşturmaktır. Eksik belge, yetkisiz daire ve ret kararı farklıdır. İşlem yürümedi demek nerede durduğunu açıklamaz. Somut tanım başvurana da birime de sonraki adımı gösterir. Talebin tamamlanması için ne gerektiği ile kararın neden olumsuz olduğu ayrı sorulardır. Önce durumu belirlemek, gereksiz tekrar veya yanlış itirazın önüne geçebilir; sonucu garanti etmese de takip kalitesini artırır.</w:t>
      </w:r>
    </w:p>
    <w:p>
      <w:pPr>
        <w:spacing w:after="140"/>
      </w:pPr>
      <w:r>
        <w:rPr>
          <w:sz w:val="24"/>
          <w:szCs w:val="24"/>
        </w:rPr>
        <w:t xml:space="preserve">Şikâyet, idari inceleme ve dava</w:t>
      </w:r>
    </w:p>
    <w:p>
      <w:pPr>
        <w:spacing w:after="140"/>
      </w:pPr>
      <w:r>
        <w:rPr>
          <w:sz w:val="24"/>
          <w:szCs w:val="24"/>
        </w:rPr>
        <w:t xml:space="preserve">Hizmet şikâyeti gecikme, davranış veya işletme sorununa ilişkin olabilir. İdari inceleme, kararın geçerli kurallar altında yeniden ele alınmasını isteyebilir. Yargı yolu ise kanuni görev ve usule bağlıdır. Bunlar birbirinin yerine geçmez; tek süre yoktur. Kararı ve bildirim tarihini saklayın, hak veya önemli para etkileniyorsa zamanında değerlendirme alın. İnternet şikâyetinin dava süresini durdurduğunu varsaymayın. Başvuruya cevap beklemek, başka usule ilişkin süreyi kendiliğinden korumaz.</w:t>
      </w:r>
    </w:p>
    <w:p>
      <w:pPr>
        <w:spacing w:after="140"/>
      </w:pPr>
      <w:r>
        <w:rPr>
          <w:sz w:val="24"/>
          <w:szCs w:val="24"/>
        </w:rPr>
        <w:t xml:space="preserve">Olayı, tarihi, kurumu ve istenen çözümü net yazın. Başkalarının dosyasını açığa çıkarmadan gerekli belgeyi ekleyin. Gördüğünüz, duyduğunuz ve çıkardığınız sonucu ayırın. Belirli hatanın düzeltilmesi talebi, neyin istendiği anlaşılmayan suçlamadan kolay değerlendirilir. Onay garantisi veren kişiye ödemeyi resmî ücret sanmayın. Süreci bilmek yasal şartları aşma yetkisi vermez. Aracının sunduğu hizmet ile kararın sahibi olan makam arasında sınır bulunmalıdır; bu sınır sözleşmede de görünmelidir.</w:t>
      </w:r>
    </w:p>
    <w:p>
      <w:pPr>
        <w:spacing w:after="140"/>
      </w:pPr>
      <w:r>
        <w:rPr>
          <w:sz w:val="24"/>
          <w:szCs w:val="24"/>
        </w:rPr>
        <w:t xml:space="preserve">İşletmenin tek sihirli ruhsata değil, izin haritasına ihtiyacı var</w:t>
      </w:r>
    </w:p>
    <w:p>
      <w:pPr>
        <w:spacing w:after="140"/>
      </w:pPr>
      <w:r>
        <w:rPr>
          <w:sz w:val="24"/>
          <w:szCs w:val="24"/>
        </w:rPr>
        <w:t xml:space="preserve">Faaliyete ve yere göre kuruluş kaydı, mali yükümlülük, mekân izni ve sektör şartları gündeme gelebilir. Her işletmenin listesi aynı değildir. Kuruluş ile çalışmaya başlamayı, kişisel mesleki yeterlilik ile binanın şartlarını ayırın. Kirada, izinleri kimin alacağını ve alınamazsa ne olacağını belirleyin; sonra ekipman veya geri alınması zor tadilat ödemelerine geçin. Faaliyetin adını geniş tutmak, özel şartların yok olduğu anlamına gelmez. Açık tanım doğru izin araştırmasının temelidir.</w:t>
      </w:r>
    </w:p>
    <w:p>
      <w:pPr>
        <w:spacing w:after="140"/>
      </w:pPr>
      <w:r>
        <w:rPr>
          <w:sz w:val="24"/>
          <w:szCs w:val="24"/>
        </w:rPr>
        <w:t xml:space="preserve">Tek durak veya dijital platform duyurulduğunda gerçekte neyi birleştirdiğini kontrol edin. Birden fazla dosyanın alınması, tek onayın bütün izinlerin yerini tuttuğunu göstermez. Çıkan belgeyi ve hizmet kapsamını okuyun. Bsouria’nın bağımsız rehberi uzman bulmaya yardımcı olabilir; kayıt devlet yetkilendirmesi veya yeterlilik garantisi değildir. Hizmet sağlayıcının sıfatını doğrulayın, ücret ve çıktıları anlaşın. Temsilin sınırı, teslim edilecek belge ve sonuca ilişkin belirsizlik yazılı olarak açık olduğunda anlaşmazlık ihtimali azalır.</w:t>
      </w:r>
    </w:p>
    <w:p>
      <w:pPr>
        <w:spacing w:after="140"/>
      </w:pPr>
      <w:r>
        <w:rPr>
          <w:sz w:val="24"/>
          <w:szCs w:val="24"/>
        </w:rPr>
        <w:t xml:space="preserve">Dijital işlem ve basit takip dosyası</w:t>
      </w:r>
    </w:p>
    <w:p>
      <w:pPr>
        <w:spacing w:after="140"/>
      </w:pPr>
      <w:r>
        <w:rPr>
          <w:sz w:val="24"/>
          <w:szCs w:val="24"/>
        </w:rPr>
        <w:t xml:space="preserve">Bağlantıyı güvenilir kurum kanalından doğrulayın; logo yeterli değildir. Şifre veya doğrulama kodunu aracıya vermeyin. Yakına yardım ederken neyi nereye göndereceğinizi anlatın ve uygun rızasını alın. Yalnız gerekli kopyaları güvenli saklayın. Hata sonrası yeniden ödeme yapmadan durumu kontrol edin. Sayfanın yüklenmesi başvurunun teslim edildiği, alındı mesajı da içerik onaylandığı anlamına gelmez. Teknik ve idari aşamalar ayrıldığında kullanıcı hangi sonucu beklediğini daha iyi bilir.</w:t>
      </w:r>
    </w:p>
    <w:p>
      <w:pPr>
        <w:spacing w:after="140"/>
      </w:pPr>
      <w:r>
        <w:rPr>
          <w:sz w:val="24"/>
          <w:szCs w:val="24"/>
        </w:rPr>
        <w:t xml:space="preserve">Kısa kayıt tutun: hizmet, doğrulanmış koşullar, alıcı, referans, teslim belgeleri, kanıtlı ödemeler ve sonraki adım. Resmî yanıtla teyit gerektiren sözlü öneriyi ayırın. Aile veya şirkette takibi kimin yaptığı belli olsun; birkaç kişi çelişkili dosya göndermesin. Asılları koruyun ve gereksiz ortak klasörlere özel belge koymayın. Düzen sonucu garanti etmez; fakat hata azaltır, sorguyu cevaplanabilir hâle getirir. Dosyanın nerede durduğunu somut gösteren kayıt, belirsiz hafızadan daha kullanışlıdır.</w:t>
      </w:r>
    </w:p>
    <w:p>
      <w:pPr>
        <w:spacing w:after="140"/>
      </w:pPr>
      <w:r>
        <w:rPr>
          <w:sz w:val="24"/>
          <w:szCs w:val="24"/>
        </w:rPr>
        <w:t xml:space="preserve">Merkezîlik, yerinden yönetim ve yetki devri farklıdır</w:t>
      </w:r>
    </w:p>
    <w:p>
      <w:pPr>
        <w:spacing w:after="140"/>
      </w:pPr>
      <w:r>
        <w:rPr>
          <w:sz w:val="24"/>
          <w:szCs w:val="24"/>
        </w:rPr>
        <w:t xml:space="preserve">Merkezîlik kararı merkez makamında tutar. Yerinden yönetim, kanunla örgütlenen yerel birimlere sorumluluk verir. Yetki devri ise belirli gücün belirli sınırlar içinde kullanılmasını sağlar. Coğrafi bölünme, karar bağımsızlığını veya kaynak miktarını tek başına göstermez. Yerinden yönetim duyurusu bütün görevlerin aktarıldığını kanıtlamaz. İşlemin konusu, sınırı ve hesap verme düzeni okunmalıdır; politika başlığı uygulamanın bütün ayrıntıları yerine geçmez.</w:t>
      </w:r>
    </w:p>
    <w:p>
      <w:pPr>
        <w:spacing w:after="140"/>
      </w:pPr>
      <w:r>
        <w:rPr>
          <w:sz w:val="24"/>
          <w:szCs w:val="24"/>
        </w:rPr>
        <w:t xml:space="preserve">20 Ekim 2026 tarihli SANA haberinde, yerel denetim birimlerinin yapı ihlali dosyalarını incelemesi ve soruşturması, sonuçların onaylanıp görevli yargıya gönderilmesi örneği vardır. Bakan bunun ihlalleri yasallaştırmak veya sorumluluktan kurtarmak anlamına gelmediğini belirtmiştir. Daha kısa idari yol, af veya yapı kurallarının kaldırılması değildir. Kolaylaştırma haberini genel izin saymak yerine hangi görevin devredildiğine bakın. Başlık ile yetkinin gerçek kapsamını ayırmak vatandaş için önemli pratik sonuç doğurur. [kaynak]</w:t>
      </w:r>
    </w:p>
    <w:p>
      <w:pPr>
        <w:spacing w:after="140"/>
      </w:pPr>
      <w:r>
        <w:rPr>
          <w:sz w:val="24"/>
          <w:szCs w:val="24"/>
        </w:rPr>
        <w:t xml:space="preserve">Sık sorulan sorular</w:t>
      </w:r>
    </w:p>
    <w:p>
      <w:pPr>
        <w:spacing w:after="140"/>
      </w:pPr>
      <w:r>
        <w:rPr>
          <w:sz w:val="24"/>
          <w:szCs w:val="24"/>
        </w:rPr>
        <w:t xml:space="preserve">Suriye kaç ilden oluşur?</w:t>
      </w:r>
    </w:p>
    <w:p>
      <w:pPr>
        <w:spacing w:after="140"/>
      </w:pPr>
      <w:r>
        <w:rPr>
          <w:sz w:val="24"/>
          <w:szCs w:val="24"/>
        </w:rPr>
        <w:t xml:space="preserve">Yerleşik idari haritada yazıda sayılan on dört il vardır. Bu sayı her daireye güncel erişimi anlatmaz. İhtiyacınız olan kurumun yerini ve çalışma kanalını ayrıca doğrulayın; il listesini hizmetlerin fiilî kullanılabilirlik haritası saymayın.</w:t>
      </w:r>
    </w:p>
    <w:p>
      <w:pPr>
        <w:spacing w:after="140"/>
      </w:pPr>
      <w:r>
        <w:rPr>
          <w:sz w:val="24"/>
          <w:szCs w:val="24"/>
        </w:rPr>
        <w:t xml:space="preserve">Şam ile Şam Kırsalı aynı il mi?</w:t>
      </w:r>
    </w:p>
    <w:p>
      <w:pPr>
        <w:spacing w:after="140"/>
      </w:pPr>
      <w:r>
        <w:rPr>
          <w:sz w:val="24"/>
          <w:szCs w:val="24"/>
        </w:rPr>
        <w:t xml:space="preserve">Hayır, farklı illerdir. Aynı adlı şehir ile geniş il alanı da ayrılmalıdır. Başvuru ve sözleşmede yakın veya tanınmış şehir adı yerine resmî konum ve gerekli taşınmaz referansları kullanılmalıdır.</w:t>
      </w:r>
    </w:p>
    <w:p>
      <w:pPr>
        <w:spacing w:after="140"/>
      </w:pPr>
      <w:r>
        <w:rPr>
          <w:sz w:val="24"/>
          <w:szCs w:val="24"/>
        </w:rPr>
        <w:t xml:space="preserve">İlçe, nahiye ve belediye eş anlamlı mı?</w:t>
      </w:r>
    </w:p>
    <w:p>
      <w:pPr>
        <w:spacing w:after="140"/>
      </w:pPr>
      <w:r>
        <w:rPr>
          <w:sz w:val="24"/>
          <w:szCs w:val="24"/>
        </w:rPr>
        <w:t xml:space="preserve">Hayır, farklı bölünme veya birimleri anlatır. Her adres bütün seviyelerden aynı biçimde geçmez. Uygun resmî veri kullanın; formdaki zorunlu alanı doldurmak için olmayan değer üretmeyin. İstisnanın nasıl girileceğini ilgili hizmetten sorun.</w:t>
      </w:r>
    </w:p>
    <w:p>
      <w:pPr>
        <w:spacing w:after="140"/>
      </w:pPr>
      <w:r>
        <w:rPr>
          <w:sz w:val="24"/>
          <w:szCs w:val="24"/>
        </w:rPr>
        <w:t xml:space="preserve">Bakanlık adları ve sayısı değişmez mi?</w:t>
      </w:r>
    </w:p>
    <w:p>
      <w:pPr>
        <w:spacing w:after="140"/>
      </w:pPr>
      <w:r>
        <w:rPr>
          <w:sz w:val="24"/>
          <w:szCs w:val="24"/>
        </w:rPr>
        <w:t xml:space="preserve">Atama ve yeniden örgütlenmelerle değişebilir. Ekim 2026’da adlandırılan sanayi, iç ticaret ve tüketici koruması portföyü örnektir. Yeni unvan bütün hizmet aktarımını açıklamaz; belirli dosyanın güncel düzenlemesini kontrol edin.</w:t>
      </w:r>
    </w:p>
    <w:p>
      <w:pPr>
        <w:spacing w:after="140"/>
      </w:pPr>
      <w:r>
        <w:rPr>
          <w:sz w:val="24"/>
          <w:szCs w:val="24"/>
        </w:rPr>
        <w:t xml:space="preserve">Bakanlıktan mı yerel birimden mi başlamalıyım?</w:t>
      </w:r>
    </w:p>
    <w:p>
      <w:pPr>
        <w:spacing w:after="140"/>
      </w:pPr>
      <w:r>
        <w:rPr>
          <w:sz w:val="24"/>
          <w:szCs w:val="24"/>
        </w:rPr>
        <w:t xml:space="preserve">Güncel rehber veya resmî açıklamadan kim aldığı ve kim karar verdiği öğrenilmelidir. Bazı işler yerel veya devredilmiş, bazıları merkezî ya da ayrı kamu kuruluşundadır. Tek unvan bütün işlem sırasını açıklamaz.</w:t>
      </w:r>
    </w:p>
    <w:p>
      <w:pPr>
        <w:spacing w:after="140"/>
      </w:pPr>
      <w:r>
        <w:rPr>
          <w:sz w:val="24"/>
          <w:szCs w:val="24"/>
        </w:rPr>
        <w:t xml:space="preserve">Elektronik şikâyet, talebin onaylandığı anlamına gelir mi?</w:t>
      </w:r>
    </w:p>
    <w:p>
      <w:pPr>
        <w:spacing w:after="140"/>
      </w:pPr>
      <w:r>
        <w:rPr>
          <w:sz w:val="24"/>
          <w:szCs w:val="24"/>
        </w:rPr>
        <w:t xml:space="preserve">Hayır. Onay mesajı yalnızca anlattığı aşamayı kanıtlar. Referansı ve tarihi saklayıp belirtilen kanaldan sonucu izleyin. Hukuki süre veya olumsuz karar varsa, şikâyet takibini gerekli başvurunun yerine geçtiği biçimde değerlendirmeyin.</w:t>
      </w:r>
    </w:p>
    <w:p>
      <w:pPr>
        <w:spacing w:after="140"/>
      </w:pPr>
      <w:r>
        <w:rPr>
          <w:sz w:val="24"/>
          <w:szCs w:val="24"/>
        </w:rPr>
        <w:t xml:space="preserve">Kaynaklar ve ek okumalar</w:t>
      </w:r>
    </w:p>
    <w:p>
      <w:pPr>
        <w:spacing w:after="140"/>
      </w:pPr>
      <w:r>
        <w:rPr>
          <w:sz w:val="24"/>
          <w:szCs w:val="24"/>
        </w:rPr>
        <w:t xml:space="preserve">Local Administration Law 107 of 2011, reproduced legal text, notably Articles 1, 7 and 73</w:t>
      </w:r>
    </w:p>
    <w:p>
      <w:pPr>
        <w:spacing w:after="140"/>
      </w:pPr>
      <w:r>
        <w:rPr>
          <w:sz w:val="24"/>
          <w:szCs w:val="24"/>
        </w:rPr>
        <w:t xml:space="preserve">Presidency statement / SANA — Building-regulation circular, 1 June 2026</w:t>
      </w:r>
    </w:p>
    <w:p>
      <w:pPr>
        <w:spacing w:after="140"/>
      </w:pPr>
      <w:r>
        <w:rPr>
          <w:sz w:val="24"/>
          <w:szCs w:val="24"/>
        </w:rPr>
        <w:t xml:space="preserve">Ministry statement / SANA — Review of local-administration legislation, 6 July 2026</w:t>
      </w:r>
    </w:p>
    <w:p>
      <w:pPr>
        <w:spacing w:after="140"/>
      </w:pPr>
      <w:r>
        <w:rPr>
          <w:sz w:val="24"/>
          <w:szCs w:val="24"/>
        </w:rPr>
        <w:t xml:space="preserve">Ministry / SANA — Delegation is not regularisation of building violations, 20 October 2026</w:t>
      </w:r>
    </w:p>
    <w:p>
      <w:pPr>
        <w:spacing w:after="140"/>
      </w:pPr>
      <w:r>
        <w:rPr>
          <w:sz w:val="24"/>
          <w:szCs w:val="24"/>
        </w:rPr>
        <w:t xml:space="preserve">Presidency / SANA — Industry, internal trade and consumer protection appointment, 19 October 2026</w:t>
      </w:r>
    </w:p>
    <w:p>
      <w:pPr>
        <w:spacing w:after="140"/>
      </w:pPr>
      <w:r>
        <w:rPr>
          <w:sz w:val="24"/>
          <w:szCs w:val="24"/>
        </w:rPr>
        <w:t xml:space="preserve">SANA — Governorate directory and local reporting</w:t>
      </w:r>
    </w:p>
    <w:p>
      <w:pPr>
        <w:spacing w:after="140"/>
      </w:pPr>
      <w:r>
        <w:rPr>
          <w:sz w:val="24"/>
          <w:szCs w:val="24"/>
        </w:rPr>
        <w:t xml:space="preserve">Digital Syria — Public-sector digital project directory; project announcements are not proof of complete rollout</w:t>
      </w:r>
    </w:p>
    <w:p>
      <w:pPr>
        <w:spacing w:after="140"/>
      </w:pPr>
      <w:r>
        <w:rPr>
          <w:sz w:val="24"/>
          <w:szCs w:val="24"/>
        </w:rPr>
        <w:t xml:space="preserve">Bsouria üzerinde keşfedin</w:t>
      </w:r>
    </w:p>
    <w:p>
      <w:pPr>
        <w:spacing w:after="140"/>
      </w:pPr>
      <w:r>
        <w:rPr>
          <w:sz w:val="24"/>
          <w:szCs w:val="24"/>
        </w:rPr>
        <w:t xml:space="preserve">İş fırsatları · İşletme rehberi · Tamamlayıcı yazı</w:t>
      </w:r>
    </w:p>
    <w:p>
      <w:pPr>
        <w:spacing w:after="140"/>
      </w:pPr>
      <w:r>
        <w:rPr>
          <w:sz w:val="24"/>
          <w:szCs w:val="24"/>
        </w:rPr>
        <w:t xml:space="preserve">Görsel kaynakları ve kullanım hakları</w:t>
      </w:r>
    </w:p>
    <w:p>
      <w:pPr>
        <w:spacing w:after="140"/>
      </w:pPr>
      <w:r>
        <w:rPr>
          <w:sz w:val="24"/>
          <w:szCs w:val="24"/>
        </w:rPr>
        <w:t xml:space="preserve">Fotoğraf tarihleri ve temsili sahneler açıklamalarda belirtilir. Arşivler güncel durumu veya fon projelerini belgelemez. Eğitsel şemalar Bsouria tarafından hazırlanmıştır.</w:t>
      </w:r>
    </w:p>
    <w:p>
      <w:pPr>
        <w:spacing w:after="140"/>
      </w:pPr>
      <w:r>
        <w:rPr>
          <w:sz w:val="24"/>
          <w:szCs w:val="24"/>
        </w:rPr>
        <w:t xml:space="preserve">Şam’ın panoramik görünümü, 2008 tarihli arşiv fotoğrafı — Vyacheslav Argenberg / Wikimedia Commons · CC BY 4.0. Kırpılıp boyutlandırıldı; güncel durumu kanıtlamaz.</w:t>
      </w:r>
    </w:p>
    <w:p>
      <w:pPr>
        <w:spacing w:after="140"/>
      </w:pPr>
      <w:r>
        <w:rPr>
          <w:sz w:val="24"/>
          <w:szCs w:val="24"/>
        </w:rPr>
        <w:t xml:space="preserve">Hama’da su çarkı, 2010 tarihli arşiv fotoğrafı — Bernard Gagnon / Wikimedia Commons · CC BY-SA 3.0. Kırpılıp boyutlandırıldı; güncel durumu kanıtlamaz.</w:t>
      </w:r>
    </w:p>
    <w:p>
      <w:pPr>
        <w:spacing w:after="140"/>
      </w:pPr>
      <w:r>
        <w:rPr>
          <w:sz w:val="24"/>
          <w:szCs w:val="24"/>
        </w:rPr>
        <w:t xml:space="preserve">Güncellenen slayt gösterisi lisansı: CC BY-SA 4.0. Kaynak, yazar ve görsel lisansları yukarıdadır; kırpılmış görseller ve kesitleri özgün veya uyumlu lisansı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Bakanlıktan Belediyeye: Vatandaş ve İşletmeler İçin Suriye’nin İdari Haritası</dc:title>
  <dc:creator>Bsouria</dc:creator>
  <cp:lastModifiedBy>Bsouria</cp:lastModifiedBy>
  <dcterms:created xsi:type="dcterms:W3CDTF">2026-10-30T16:50:56Z</dcterms:created>
</cp:coreProperties>
</file>