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Suriye’yi Kim Yönetiyor? Cumhurbaşkanlığı, Hükümet, Halk Meclisi ve Yargı Rehberi</w:t>
      </w:r>
    </w:p>
    <w:p>
      <w:pPr/>
      <w:r>
        <w:rPr>
          <w:i/>
          <w:color w:val="64736B"/>
        </w:rPr>
        <w:t>Bsouria · 2026-10-23</w:t>
      </w:r>
    </w:p>
    <w:p>
      <w:pPr>
        <w:spacing w:after="220"/>
      </w:pPr>
      <w:r>
        <w:rPr>
          <w:i/>
        </w:rPr>
        <w:t>Suriye’de geçiş döneminin kurumlarını anlayın: cumhurbaşkanlığı, hükümet, Halk Meclisi ve yargının görevleri, kural koyma, uygulama ve inceleme süreçleri.</w:t>
      </w:r>
    </w:p>
    <w:p>
      <w:pPr>
        <w:spacing w:after="140"/>
      </w:pPr>
      <w:r>
        <w:rPr>
          <w:sz w:val="24"/>
          <w:szCs w:val="24"/>
        </w:rPr>
        <w:t xml:space="preserve">Suriye parlamento binası, 1950–1955; tarihî fotoğraf — Unknown author / Wikimedia Commons · Public domain. Kırpılıp boyutlandırıldı; güncel durumu kanıtlamaz.</w:t>
      </w:r>
    </w:p>
    <w:p>
      <w:pPr>
        <w:spacing w:after="140"/>
      </w:pPr>
      <w:r>
        <w:rPr>
          <w:sz w:val="24"/>
          <w:szCs w:val="24"/>
        </w:rPr>
        <w:t xml:space="preserve">Editoryal ve kaynak incelemesi: 23 Ekim 2026. Yazılı kural ile uygulamayı ayıran genel yurttaşlık rehberi; her dosyanın güncel usulünü doğrulayın.</w:t>
      </w:r>
    </w:p>
    <w:p>
      <w:pPr>
        <w:spacing w:after="140"/>
      </w:pPr>
      <w:r>
        <w:rPr>
          <w:sz w:val="24"/>
          <w:szCs w:val="24"/>
        </w:rPr>
        <w:t xml:space="preserve">Yeni bir kanun, bakanlık açıklaması ve mahkeme kararı aynı haber akışında yan yana gelebilir. Hepsi devletle ilgilidir; fakat aynı kurumdan çıkmaz ve aynı sonucu doğurmaz. Kuralı kim koyar, uygulamayı kim yapar, anlaşmazlığı kim inceler? Bunlar yalnızca hukukçuların soruları değildir. Bir aile başvurusunu izlerken, esnaf sözleşme hazırlarken ve öğrenci kamu hayatını anlamaya çalışırken bu ayrımlar işe yarar. Başlamak için bütün hukuk terimlerini ezberlemek gerekmez.</w:t>
      </w:r>
    </w:p>
    <w:p>
      <w:pPr>
        <w:spacing w:after="140"/>
      </w:pPr>
      <w:r>
        <w:rPr>
          <w:sz w:val="24"/>
          <w:szCs w:val="24"/>
        </w:rPr>
        <w:t xml:space="preserve">23 Ekim 2026 tarihinde gözden geçirilen bu rehber, 13 Mart 2025 tarihli Anayasal Bildiri temelindeki geçiş düzenini ve sonraki kurumsal gelişmeleri açıklar. 2012 Anayasası’nın yapısını bugünkü sistem olarak sunmaz; geçiş bildirisi ile kalıcı anayasayı karıştırmaz. Yazılı güvence ile uygulama kanıtını da ayırır. Bir kurumun kurulması veya bağımsızlığının ilan edilmesi, her kararının niteliğini ya da her yerde aynı hizmete erişildiğini tek başına göstermez.</w:t>
      </w:r>
    </w:p>
    <w:p>
      <w:pPr>
        <w:spacing w:after="140"/>
      </w:pPr>
      <w:r>
        <w:rPr>
          <w:sz w:val="24"/>
          <w:szCs w:val="24"/>
        </w:rPr>
        <w:t xml:space="preserve">İşlevGeçiş çerçevesindeki kurumYasamaHalk Meclisi: genel kurallar, bütçe ve belirlenen görevlerYürütmeCumhurbaşkanı ve bakanlar: metinlere göre idare ve uygulamaYargılamaYargı: kanunun belirlediği görev ve başvuru yolları</w:t>
      </w:r>
    </w:p>
    <w:p>
      <w:pPr>
        <w:spacing w:after="140"/>
      </w:pPr>
      <w:r>
        <w:rPr>
          <w:sz w:val="24"/>
          <w:szCs w:val="24"/>
        </w:rPr>
        <w:t xml:space="preserve">Geçiş dönemi ne anlama gelir?</w:t>
      </w:r>
    </w:p>
    <w:p>
      <w:pPr>
        <w:spacing w:after="140"/>
      </w:pPr>
      <w:r>
        <w:rPr>
          <w:sz w:val="24"/>
          <w:szCs w:val="24"/>
        </w:rPr>
        <w:t xml:space="preserve">Bildiri, yürürlüğe girmesinden başlayan beş yıllık geçiş dönemi öngörür; kalıcı anayasa ve ona göre seçimler bu çerçevenin devamındaki hedeflerdir. Halk Meclisinin görev süresi ise ayrıdır: yenilenebilir otuz ay. İki süre farklı konuları düzenler. Bunları toplayarak veya birinin bitişini esas alarak bütün seçimler, reformlar ve bireysel işlemler için otomatik tarih açıklamak doğru değildir. Uygulamayı belirleyen sonraki metin ve kararların ayrıca incelenmesi gerekir.</w:t>
      </w:r>
    </w:p>
    <w:p>
      <w:pPr>
        <w:spacing w:after="140"/>
      </w:pPr>
      <w:r>
        <w:rPr>
          <w:sz w:val="24"/>
          <w:szCs w:val="24"/>
        </w:rPr>
        <w:t xml:space="preserve">Geçiş sırasında eski bir kanun uygulanmaya devam ederken kurumların örgütlenmesi değişebilir. Bildiri, değiştirilmedikçe veya kaldırılmadıkça yürürlükteki mevzuatın devamını öngörür. Dolayısıyla eski tarihli olmak geçersiz olmak demek değildir. Yeni bir açıklama da mutlaka hukuki değişiklik anlamına gelmez. Belgenin numarası, tarihi, düzenlediği konu ve onu değiştiren sonraki işlem araştırılmalıdır. Yalnızca haber başlığının ekran görüntüsünü saklamak, kuralın kapsamını ve geçerliliğini anlamak için yeterli değildir.</w:t>
      </w:r>
    </w:p>
    <w:p>
      <w:pPr>
        <w:spacing w:after="140"/>
      </w:pPr>
      <w:r>
        <w:rPr>
          <w:sz w:val="24"/>
          <w:szCs w:val="24"/>
        </w:rPr>
        <w:t xml:space="preserve">Üç işlev, anlaşılır bir başlangıç haritası</w:t>
      </w:r>
    </w:p>
    <w:p>
      <w:pPr>
        <w:spacing w:after="140"/>
      </w:pPr>
      <w:r>
        <w:rPr>
          <w:sz w:val="24"/>
          <w:szCs w:val="24"/>
        </w:rPr>
        <w:t xml:space="preserve">Yasama genel kuralları oluşturur. Yürütme kanunları uygular ve kamu işlerini yönetir. Yargı, hukuken yetkili olduğu uyuşmazlıkları karara bağlar. Geçiş çerçevesinde yasama yetkisini Halk Meclisi, yürütmeyi cumhurbaşkanı ile bakanlar kullanır; bildiri yargının bağımsızlığını belirtir. Bu, öğrenmeyi kolaylaştıran bir haritadır. Kurumların birbirinden kopuk, hiç temas etmeyen üç kutu olduğu anlamına gelmez. Bütçe, atama, kanun önerisi, yayımlama ve inceleme süreçleri aralarında ilişkiler kurar.</w:t>
      </w:r>
    </w:p>
    <w:p>
      <w:pPr>
        <w:spacing w:after="140"/>
      </w:pPr>
      <w:r>
        <w:rPr>
          <w:sz w:val="24"/>
          <w:szCs w:val="24"/>
        </w:rPr>
        <w:t xml:space="preserve">Bu ilişkiler açıklamada görünmelidir. Bildiriye göre cumhurbaşkanı bakanları atar; meclis üyelerinin üçte birini ve Yüksek Anayasa Mahkemesinin üyelerini belirler. Yetkinin dağılımını anlamak için bu bağlantıları bilmek gerekir. Fakat bağlantıları anlatmak, bütün denge ve güvencelerin uygulamada etkili çalıştığını kanıtlamaz; bunun tersi hakkında da her olay için hazır hüküm vermez. Sağlıklı değerlendirme, metnin yanında usule, kurumsal davranışa ve somut bilgilere bakmayı gerektirir.</w:t>
      </w:r>
    </w:p>
    <w:p>
      <w:pPr>
        <w:spacing w:after="140"/>
      </w:pPr>
      <w:r>
        <w:rPr>
          <w:sz w:val="24"/>
          <w:szCs w:val="24"/>
        </w:rPr>
        <w:t xml:space="preserve">Vatandaş bu yapının neresindedir?</w:t>
      </w:r>
    </w:p>
    <w:p>
      <w:pPr>
        <w:spacing w:after="140"/>
      </w:pPr>
      <w:r>
        <w:rPr>
          <w:sz w:val="24"/>
          <w:szCs w:val="24"/>
        </w:rPr>
        <w:t xml:space="preserve">İş, eğitim, mülkiyet, harç, ruhsat ve mahkemeye erişim kamu kurallarıyla ilişkilidir. Pratik sorularla başlayın: Hangi kurum işlem yapıyor? Belge türü nedir? Yetkisi nereden geliyor? Ne zaman uygulanıyor? İnceleme veya itiraz yolu var mı? Bu sorular soyut yurttaşlık bilgisini günlük ihtiyaçla birleştirir. Basit bir belgenin çıkarılmasını, o belgeyi düzenleyemeyen siyasi bir makamdan istemek yerine doğru hizmetin bulunmasına yardım eder. Makamın görünürlüğü, her işlemi yapabilmesi demek değildir.</w:t>
      </w:r>
    </w:p>
    <w:p>
      <w:pPr>
        <w:spacing w:after="140"/>
      </w:pPr>
      <w:r>
        <w:rPr>
          <w:sz w:val="24"/>
          <w:szCs w:val="24"/>
        </w:rPr>
        <w:t xml:space="preserve">Cumhurbaşkanlığının yürütmedeki yeri</w:t>
      </w:r>
    </w:p>
    <w:p>
      <w:pPr>
        <w:spacing w:after="140"/>
      </w:pPr>
      <w:r>
        <w:rPr>
          <w:sz w:val="24"/>
          <w:szCs w:val="24"/>
        </w:rPr>
        <w:t xml:space="preserve">Geçiş çerçevesindeki üç kamu işlevini ayıran şema</w:t>
      </w:r>
    </w:p>
    <w:p>
      <w:pPr>
        <w:spacing w:after="140"/>
      </w:pPr>
      <w:r>
        <w:rPr>
          <w:sz w:val="24"/>
          <w:szCs w:val="24"/>
        </w:rPr>
        <w:t xml:space="preserve">İnceleme tarihinde cumhurbaşkanlığı görevini Ahmed eş-Şara yürütmektedir. Bildiri cumhurbaşkanına ülkenin yönetimi ve devletin temsilinde geniş sorumluluklar verir. Bakanları atama ve görevden alma bunlar arasındadır. Cumhurbaşkanı kanun önerebilir ve meclisin kabul ettiği kanunları, itiraz ile yeniden görüşme mekanizmasını içeren usul kapsamında yayımlar. Bu rolü yalnızca başka bir kurumun talimatını uygulamak diye anlatmak eksik olur. Bununla birlikte konuşma, toplantı fotoğrafı veya işbirliği niyeti, tek başına yürürlükte bir kanun oluşturmaz.</w:t>
      </w:r>
    </w:p>
    <w:p>
      <w:pPr>
        <w:spacing w:after="140"/>
      </w:pPr>
      <w:r>
        <w:rPr>
          <w:sz w:val="24"/>
          <w:szCs w:val="24"/>
        </w:rPr>
        <w:t xml:space="preserve">Cumhurbaşkanlığı haberinde işlemi belirleyin. Görevli atamak, düzenleme yayımlamakla aynı değildir; anlaşmayı imzalamak, gelecekte işbirliği düşünüldüğünü açıklamaktan farklıdır. Her açıklamaya kararname demeyin. Belgenin gerçekten ne yaptığını, dayanağını ve kapsamını okuyun. Fotoğraf kimin toplantıda bulunduğunu gösterebilir; bütün mali taahhütleri, izinleri veya yürürlük tarihlerini kanıtlamaz. Haber metnindeki umutlarla belgenin kurduğu yükümlülükleri ayırmak, hem vatandaş hem işletme açısından önem taşır.</w:t>
      </w:r>
    </w:p>
    <w:p>
      <w:pPr>
        <w:spacing w:after="140"/>
      </w:pPr>
      <w:r>
        <w:rPr>
          <w:sz w:val="24"/>
          <w:szCs w:val="24"/>
        </w:rPr>
        <w:t xml:space="preserve">Eski başbakanlık modelini bugüne taşımalı mıyız?</w:t>
      </w:r>
    </w:p>
    <w:p>
      <w:pPr>
        <w:spacing w:after="140"/>
      </w:pPr>
      <w:r>
        <w:rPr>
          <w:sz w:val="24"/>
          <w:szCs w:val="24"/>
        </w:rPr>
        <w:t xml:space="preserve">Hayır. Güncel bildiri yürütmeyi cumhurbaşkanı ve bakanlar üzerinden düzenler; 2012 Anayasası’ndan bilinen başbakanlık yapısını kurmaz. Eski bir kanunda başbakan veya Bakanlar Kurulu başkanı yazması bu nedenle dikkat gerektirir. O unvanın yerine kendiliğinizden yeni kurum adı koymayın; bütün yetkilerin otomatik biçimde belirli makama geçtiğini varsaymayın. Belirli onay, atama ya da sözleşme bakımından sonraki düzenlemeler ve yetki devri işlemleri incelenmelidir. Genel şema bu soruyu tek başına çözmez.</w:t>
      </w:r>
    </w:p>
    <w:p>
      <w:pPr>
        <w:spacing w:after="140"/>
      </w:pPr>
      <w:r>
        <w:rPr>
          <w:sz w:val="24"/>
          <w:szCs w:val="24"/>
        </w:rPr>
        <w:t xml:space="preserve">Hükümet ve bakanlıklar politikayı nasıl uygular?</w:t>
      </w:r>
    </w:p>
    <w:p>
      <w:pPr>
        <w:spacing w:after="140"/>
      </w:pPr>
      <w:r>
        <w:rPr>
          <w:sz w:val="24"/>
          <w:szCs w:val="24"/>
        </w:rPr>
        <w:t xml:space="preserve">Bakanlık, görevleri ve kaynakları hukuki örgütlenmesiyle belirlenen sektörel kurumdur. Her belge için bakanın imzası gerekmez; her hizmet merkez binadan verilmez. İl düzeyindeki müdürlük, kamu kuruluşu veya hizmet merkezi uygun başlangıç olabilir. Tamamlayıcı makale bu idari haritayı anlatır. Bütün sektörlerde aynı hiyerarşiyi ve aynı başvuru zincirini varsaymak yerine, hizmetin güncel düzenlemesini ve karar vermeye yetkili birimi belirlemek gerekir.</w:t>
      </w:r>
    </w:p>
    <w:p>
      <w:pPr>
        <w:spacing w:after="140"/>
      </w:pPr>
      <w:r>
        <w:rPr>
          <w:sz w:val="24"/>
          <w:szCs w:val="24"/>
        </w:rPr>
        <w:t xml:space="preserve">Politika açıklaması ile proje teslimini ayırın. Hizmeti iyileştirme sözü, her yerleşimde bütçe ayrıldığı, sözleşme yapıldığı ve başlangıç tarihi belirlendiği anlamına gelmez. Personel, satın alma, ekipman ve koordinasyon gerekebilir. Faydalı kamu sorusu somut projeyi, uygulayıcıyı ve açıklanan aşamayı belirtir. Böylece genel bir hedefi her yerde tamamlanmış sonuç saymak yerine, neyin planlandığı ve neyin gerçekleştiği üzerinden konuşulur. Takip edilebilir bilgi, geniş fakat belirsiz beklentiden daha değerlidir.</w:t>
      </w:r>
    </w:p>
    <w:p>
      <w:pPr>
        <w:spacing w:after="140"/>
      </w:pPr>
      <w:r>
        <w:rPr>
          <w:sz w:val="24"/>
          <w:szCs w:val="24"/>
        </w:rPr>
        <w:t xml:space="preserve">Halk Meclisi hangi işleri yapar?</w:t>
      </w:r>
    </w:p>
    <w:p>
      <w:pPr>
        <w:spacing w:after="140"/>
      </w:pPr>
      <w:r>
        <w:rPr>
          <w:sz w:val="24"/>
          <w:szCs w:val="24"/>
        </w:rPr>
        <w:t xml:space="preserve">30. madde kanun önermek ve kabul etmek, eski mevzuatı değiştirmek veya kaldırmak, bütçeyi ve genel affı onaylamak, anlaşmaları tasdik etmek ve bakanları dinlemek gibi görevler sayar. Bunlar bireysel ruhsat işlemi veya özel davada karar vermekten farklıdır. Üye, genel bir sorunu meclis çalışmasına taşıyabilir. Ancak bu, onu ruhsat müdürü veya iki kişi arasındaki mülkiyet uyuşmazlığının hâkimi yapmaz. Kurumun gerçek görevine uygun talep, takip yolunu da netleştirir. [kaynak]</w:t>
      </w:r>
    </w:p>
    <w:p>
      <w:pPr>
        <w:spacing w:after="140"/>
      </w:pPr>
      <w:r>
        <w:rPr>
          <w:sz w:val="24"/>
          <w:szCs w:val="24"/>
        </w:rPr>
        <w:t xml:space="preserve">SANA, 12 Temmuz 2026 tarihinde ilk toplantının yapıldığını, üyelerin yemin ettiğini ve Abdülhamid el-Avak’ın başkan seçildiğini bildirdi. Meclisi yalnızca ileride kurulacak bir kurum olarak sunmak bu nedenle güncel değildir. Bununla birlikte toplantı haberindeki sayıyı, seçim düzenlemesindeki toplam sandalye sayısıyla aynı kavram gibi kullanmayın. Öngörülen sandalye, doldurulan üyelik ve toplantıya katılan kişi farklı ölçülerdir. Sayının neyi anlattığını ve hangi tarihe ait olduğunu mutlaka belirtin. [kaynak]</w:t>
      </w:r>
    </w:p>
    <w:p>
      <w:pPr>
        <w:spacing w:after="140"/>
      </w:pPr>
      <w:r>
        <w:rPr>
          <w:sz w:val="24"/>
          <w:szCs w:val="24"/>
        </w:rPr>
        <w:t xml:space="preserve">Geçiş meclisi nasıl oluştu?</w:t>
      </w:r>
    </w:p>
    <w:p>
      <w:pPr>
        <w:spacing w:after="140"/>
      </w:pPr>
      <w:r>
        <w:rPr>
          <w:sz w:val="24"/>
          <w:szCs w:val="24"/>
        </w:rPr>
        <w:t xml:space="preserve">24. madde, yüksek komitenin gözetimindeki alt seçici kurulların üyelerin üçte ikisini seçmesini, kalan üçte birin cumhurbaşkanınca atanmasını öngörür. Bu nedenle bütün süreci herkesin doğrudan genel oyuyla yapılan seçim diye adlandırmak doğru değildir. Bütün üyelerin aynı biçimde atandığını söylemek de yapıyı gizler. Belirli seçim çevresi, üye veya aşama için geçici seçim sistemi ve tarihli uygulama kararları okunmalıdır. Ülke genelindeki her yerin deneyimini tek bir görselle aynılaştırmamak gerekir. [kaynak]</w:t>
      </w:r>
    </w:p>
    <w:p>
      <w:pPr>
        <w:spacing w:after="140"/>
      </w:pPr>
      <w:r>
        <w:rPr>
          <w:sz w:val="24"/>
          <w:szCs w:val="24"/>
        </w:rPr>
        <w:t xml:space="preserve">Bir fikir ne zaman kanun olur?</w:t>
      </w:r>
    </w:p>
    <w:p>
      <w:pPr>
        <w:spacing w:after="140"/>
      </w:pPr>
      <w:r>
        <w:rPr>
          <w:sz w:val="24"/>
          <w:szCs w:val="24"/>
        </w:rPr>
        <w:t xml:space="preserve">Kanun önerisinden yayımlama ve yürürlüğe basitleştirilmiş yol</w:t>
      </w:r>
    </w:p>
    <w:p>
      <w:pPr>
        <w:spacing w:after="140"/>
      </w:pPr>
      <w:r>
        <w:rPr>
          <w:sz w:val="24"/>
          <w:szCs w:val="24"/>
        </w:rPr>
        <w:t xml:space="preserve">Basitleştirilmiş yol, öneri; ilgili usule göre görüşme ve kabul; ardından yayımlama, ilan ve metindeki yürürlük koşullarıdır. Cumhurbaşkanının öneri yetkisi vardır, yürütme taslak hazırlayabilir, meclis yasama görevini yapar. 39. madde cumhurbaşkanının yayımlaması, itirazı ve mecliste yeniden incelemeyi düzenler. Dolayısıyla tartışılan konu otomatik olarak aynı gün uygulanabilir yükümlülüğe dönüşmez. Sürecin her aşamasını ayrı adlandırmak, başlıktan yanlış sonuç çıkarılmasını engeller. [kaynak]</w:t>
      </w:r>
    </w:p>
    <w:p>
      <w:pPr>
        <w:spacing w:after="140"/>
      </w:pPr>
      <w:r>
        <w:rPr>
          <w:sz w:val="24"/>
          <w:szCs w:val="24"/>
        </w:rPr>
        <w:t xml:space="preserve">Mesleğinizi veya işinizi etkileyen değişiklikte nihai metni bulun. Taslak değişmiş olabilir; geçiş maddeleri ya da uygulama talimatları gerekebilir. Kaldırmanın görüşülmesi ile kuralın gerçekten kaldırılması farklıdır. Yasama aşamasındaki onay, bütün idari adımların hangi gün değişeceğini tek başına açıklamaz. Ticari taahhüt vermeden önce son belgeyi, kapsamını, istisnalarını ve yürürlük tarihini kontrol edin. Sosyal medyada dolaşan erken özet yerine, dayanak alınabilecek metne ulaşmak daha güvenilir başlangıçtır.</w:t>
      </w:r>
    </w:p>
    <w:p>
      <w:pPr>
        <w:spacing w:after="140"/>
      </w:pPr>
      <w:r>
        <w:rPr>
          <w:sz w:val="24"/>
          <w:szCs w:val="24"/>
        </w:rPr>
        <w:t xml:space="preserve">Kanun, kararname, karar ve genelge</w:t>
      </w:r>
    </w:p>
    <w:p>
      <w:pPr>
        <w:spacing w:after="140"/>
      </w:pPr>
      <w:r>
        <w:rPr>
          <w:sz w:val="24"/>
          <w:szCs w:val="24"/>
        </w:rPr>
        <w:t xml:space="preserve">Bu adlar aynı tür belgeyi anlatmaz. Genelge başlığı, onun bir kanunu değiştirebileceğini göstermez; mühür de kurumun görevinde bulunmayan yetkiyi yaratmaz. Belgeyi çıkaran makamı, hukuki dayanağı ve kapsamı inceleyin. Üst düzenlemeyle ilişkisini anlamak gerekir. Öğretici bir tablo, somut dosyadaki gerçek norm çatışmasını çözemez. Önemli hak veya mali yükümlülük söz konusuysa, metinleri bütün olarak değerlendirebilen uzman desteği alın. Terimlerin benzemesi hukuki sonuçların aynı olduğu anlamına gelmez.</w:t>
      </w:r>
    </w:p>
    <w:p>
      <w:pPr>
        <w:spacing w:after="140"/>
      </w:pPr>
      <w:r>
        <w:rPr>
          <w:sz w:val="24"/>
          <w:szCs w:val="24"/>
        </w:rPr>
        <w:t xml:space="preserve">Bütçe, niyeti kamu kaynağına bağlar</w:t>
      </w:r>
    </w:p>
    <w:p>
      <w:pPr>
        <w:spacing w:after="140"/>
      </w:pPr>
      <w:r>
        <w:rPr>
          <w:sz w:val="24"/>
          <w:szCs w:val="24"/>
        </w:rPr>
        <w:t xml:space="preserve">Bir sektör öncelik ilan edilebilir; ancak belirli projeye henüz ödenek ayrılmamış olabilir. Kabul edilmiş bütçe de paranın ödendiğini veya işin bittiğini kanıtlamaz. Açıklanan, tahsis edilen, sözleşmeye bağlanan ve tamamlanan aşamaları ayırın. O zaman kamu tartışması daha somut sorulara dönüşür: Hangi proje, hangi kurum, hangi aşama ve hangi yayımlanmış veri? Genel söz ile kimin yapacağı açıklanmamış sonuç karşılaştırıldığında sorumluluğun nerede başladığı kolayca kaybolur.</w:t>
      </w:r>
    </w:p>
    <w:p>
      <w:pPr>
        <w:spacing w:after="140"/>
      </w:pPr>
      <w:r>
        <w:rPr>
          <w:sz w:val="24"/>
          <w:szCs w:val="24"/>
        </w:rPr>
        <w:t xml:space="preserve">Şirket bakımından resmî proje haberi sipariş veya o şirkete ödeme sözü değildir. İhale duyurusu, yetkili talep veya uygun başka belge bulunmalı; ihale ve ödeme koşulları incelenmelidir. Aracı, gerçek devlet haberini ilgisiz özel teklifin reklamında kullanabilir. Mesajda kurum adının bulunması, gönderenin o kurum adına sözleşme yapabileceğini göstermez. Temsil sıfatı ve belgenin doğrulanması, iyi niyetli bir görüşmeyi geçerli ticari taahhütten ayırmaya yardımcı olur.</w:t>
      </w:r>
    </w:p>
    <w:p>
      <w:pPr>
        <w:spacing w:after="140"/>
      </w:pPr>
      <w:r>
        <w:rPr>
          <w:sz w:val="24"/>
          <w:szCs w:val="24"/>
        </w:rPr>
        <w:t xml:space="preserve">Yargı ile bakanlık yönetimi farklıdır</w:t>
      </w:r>
    </w:p>
    <w:p>
      <w:pPr>
        <w:spacing w:after="140"/>
      </w:pPr>
      <w:r>
        <w:rPr>
          <w:sz w:val="24"/>
          <w:szCs w:val="24"/>
        </w:rPr>
        <w:t xml:space="preserve">Bildiri yargı bağımsızlığını belirtir ve Yüksek Yargı Konseyine adaletin işleyişi ile bağımsızlığın korunmasında rol verir. Fakat bakana yazı göndermek dava yerine geçmez. Hizmet gecikmesini, dava gerektiren uyuşmazlığı, karara karşı başvuruyu ve mesleki davranış şikâyetini ayırmak gerekir. Bunların muhatabı, şartları ve etkisi farklı olabilir. İlk adım, bütün sorunları tek şikâyet biçimine sokmak yerine hangi işlemin veya kararın tartışıldığını belirlemektir.</w:t>
      </w:r>
    </w:p>
    <w:p>
      <w:pPr>
        <w:spacing w:after="140"/>
      </w:pPr>
      <w:r>
        <w:rPr>
          <w:sz w:val="24"/>
          <w:szCs w:val="24"/>
        </w:rPr>
        <w:t xml:space="preserve">Adalet Bakanlığı bütün mahkemelerin başka adı değildir; bakan da istinaf mahkemesi değildir. Sektörün idaresi ile dosyanın yargısal kararı farklı işlerdir. Bildiride anılan Devlet Davaları İdaresini de isminden hareketle herkesin ücretsiz özel avukatı diye tanıtmayın. Kurumun kanunu görevini belirler. Bu ayrım, başvurunun nereye ait olduğunu anlamaya ve hassas bir sürede yanlış kapıda beklememeye yardım eder. Kurum adının genişliği, bireysel dava hakkında sınırsız görev doğurmaz.</w:t>
      </w:r>
    </w:p>
    <w:p>
      <w:pPr>
        <w:spacing w:after="140"/>
      </w:pPr>
      <w:r>
        <w:rPr>
          <w:sz w:val="24"/>
          <w:szCs w:val="24"/>
        </w:rPr>
        <w:t xml:space="preserve">Adli yargı ve idari yargı neden ayrılır?</w:t>
      </w:r>
    </w:p>
    <w:p>
      <w:pPr>
        <w:spacing w:after="140"/>
      </w:pPr>
      <w:r>
        <w:rPr>
          <w:sz w:val="24"/>
          <w:szCs w:val="24"/>
        </w:rPr>
        <w:t xml:space="preserve">Suriye parlamento salonu, 1955; günümüzdeki meclisi göstermez — Unknown author / Wikimedia Commons · Public domain. Kırpılıp boyutlandırıldı; güncel durumu kanıtlamaz.</w:t>
      </w:r>
    </w:p>
    <w:p>
      <w:pPr>
        <w:spacing w:after="140"/>
      </w:pPr>
      <w:r>
        <w:rPr>
          <w:sz w:val="24"/>
          <w:szCs w:val="24"/>
        </w:rPr>
        <w:t xml:space="preserve">45. madde adli ve idari yargıdan oluşan ikili sistemi öngörür; idari yargıyı ilgili kanun çerçevesinde Danıştay yürütür. Öğrenme amacıyla, özel kişiler arasındaki uyuşmazlıklar ve ceza süreçleri ile idari karar, kamu sözleşmesi ve idarenin sorumluluğu konuları ayrılabilir. Ancak bir kamu görevlisinin dosyada bulunması tek başına görevli yargıyı belirlemez. Talebin konusu, tarafların sıfatı ve uygulanacak mevzuat birlikte değerlendirilmelidir; belgenin çıktığı binanın adı yeterli olmaz. [kaynak]</w:t>
      </w:r>
    </w:p>
    <w:p>
      <w:pPr>
        <w:spacing w:after="140"/>
      </w:pPr>
      <w:r>
        <w:rPr>
          <w:sz w:val="24"/>
          <w:szCs w:val="24"/>
        </w:rPr>
        <w:t xml:space="preserve">Özel kira uyuşmazlığı ile idari ret kararına itiraz aynı değildir; tek işletmede ikisi birden yaşanabilir. Bu rehber her durum için aynı mahkemeyi, süreyi veya dilekçeyi önermez. Kararı, eklerini ve bildirim tarihini saklayın, zamanında değerlendirme isteyin. Hizmet şikâyeti, medya başvurusu veya gayriresmî mesajın hukuki süreyi durdurduğunu varsaymayın. Haklı olduğunuzu düşünmek, gerekli usulü takip etme ihtiyacını ortadan kaldırmaz. Belge düzeni hem açıklama hem başvuru bakımından yararlıdır.</w:t>
      </w:r>
    </w:p>
    <w:p>
      <w:pPr>
        <w:spacing w:after="140"/>
      </w:pPr>
      <w:r>
        <w:rPr>
          <w:sz w:val="24"/>
          <w:szCs w:val="24"/>
        </w:rPr>
        <w:t xml:space="preserve">Yüksek Anayasa Mahkemesinin özel görevi</w:t>
      </w:r>
    </w:p>
    <w:p>
      <w:pPr>
        <w:spacing w:after="140"/>
      </w:pPr>
      <w:r>
        <w:rPr>
          <w:sz w:val="24"/>
          <w:szCs w:val="24"/>
        </w:rPr>
        <w:t xml:space="preserve">Bildiri, cumhurbaşkanınca belirlenen yedi üyeli yeni mahkeme öngörür; usul ve yetkilerin kanunla düzenlenmesini belirtir. Temmuz 2026’da yayımlanan 149 sayılı kararname mahkemeyi oluşturmuş ve belirli başvurular üzerinden anayasal denetim ile yorum dâhil geçici görevler tanımlamıştır. Kurumu hâlâ hiç kurulmamış diye sunmak güncelliğini yitirmiştir. Buna karşılık her kişisel şikâyetin doğrudan götürülebileceği sınırsız başvuru gişesi olarak anlatmak da yanlıştır. Kuruluş, görev ve erişim koşulları ayrı sorulardır. [kaynak]</w:t>
      </w:r>
    </w:p>
    <w:p>
      <w:pPr>
        <w:spacing w:after="140"/>
      </w:pPr>
      <w:r>
        <w:rPr>
          <w:sz w:val="24"/>
          <w:szCs w:val="24"/>
        </w:rPr>
        <w:t xml:space="preserve">Özel davada sözleşmenin yerine getirilip getirilmediği tartışılabilir; anayasal soruda bir kuralın anayasal çerçeveyle uyumu incelenir. Vatandaş karardan etkilenebilir, fakat bu her konuda koşulsuz doğrudan başvuru yetkisi bulunduğu anlamına gelmez. Mahkemeyi düzenleyen kanunun taslağının görüşülmesi ile kanunun yayımlanması da ayrılmalıdır. Genel kurum tanımından usul, başvuru hakkı veya süre üretmeyin. Dosyada geçerli yolu saptamak, kurumun adını bilmekten daha ayrıntılı araştırma gerektirir.</w:t>
      </w:r>
    </w:p>
    <w:p>
      <w:pPr>
        <w:spacing w:after="140"/>
      </w:pPr>
      <w:r>
        <w:rPr>
          <w:sz w:val="24"/>
          <w:szCs w:val="24"/>
        </w:rPr>
        <w:t xml:space="preserve">Haklar: yazılı güvence ve uygulamadaki durum</w:t>
      </w:r>
    </w:p>
    <w:p>
      <w:pPr>
        <w:spacing w:after="140"/>
      </w:pPr>
      <w:r>
        <w:rPr>
          <w:sz w:val="24"/>
          <w:szCs w:val="24"/>
        </w:rPr>
        <w:t xml:space="preserve">Bildiri eşitlik, mülkiyet, ifade ve adalete erişim gibi güvencelerle sınırlamalara ilişkin hükümler içerir. Bunlar önemli başvuru noktalarıdır; gerçek her dosyanın önceden çözüldüğü anlamına gelmez. Olay anlatımı, hukuki yorum ve verilmiş kararı ayırın. İddia veya soruşturma kesin mahkûmiyet değildir; bir fotoğraf kişinin suçtan sorumlu olduğunu kanıtlamaz. Bu dil disiplini hem doğru bilgiye hem kişilerin haklarına hizmet eder. Belirsizliği saklamadan neyin bilindiğini açıkça söylemek mümkündür.</w:t>
      </w:r>
    </w:p>
    <w:p>
      <w:pPr>
        <w:spacing w:after="140"/>
      </w:pPr>
      <w:r>
        <w:rPr>
          <w:sz w:val="24"/>
          <w:szCs w:val="24"/>
        </w:rPr>
        <w:t xml:space="preserve">Doğru ifade, bildirinin güvence öngördüğünü söylemek ve ardından uygulanışına bakmaktır. Kurumdan usul, veri ve çözüm yolu sorulabilir; anayasal cümleye dayanarak kişiye sonuç vaat edilmez. Metin bir ölçüt sağlar, uygulamanın niteliği ayrıca incelenir. Yurttaşlık bilgisi talebi ve yolu netleştirir, mahkemelerin veya kanunun yerine geçmez. İyi açıklama hem vatandaşın soru sormasını kolaylaştırır hem de somut olay için gerekli belge ve değerlendirmelerin sınırını korur.</w:t>
      </w:r>
    </w:p>
    <w:p>
      <w:pPr>
        <w:spacing w:after="140"/>
      </w:pPr>
      <w:r>
        <w:rPr>
          <w:sz w:val="24"/>
          <w:szCs w:val="24"/>
        </w:rPr>
        <w:t xml:space="preserve">Küçük bir atölye bütün haritayı gösterir</w:t>
      </w:r>
    </w:p>
    <w:p>
      <w:pPr>
        <w:spacing w:after="140"/>
      </w:pPr>
      <w:r>
        <w:rPr>
          <w:sz w:val="24"/>
          <w:szCs w:val="24"/>
        </w:rPr>
        <w:t xml:space="preserve">Bir işletmecinin yeni ruhsat şartı duyduğunu düşünelim. Önce bunun öneri mi, yürürlükte kanun mu, mevcut kuralın uygulama talimatı mı olduğunu araştırır. Sonra başvuru birimini, yer koşullarını ve sektörel izinleri belirler. İstenen belgenin adını ve dayanağını sorar. Ret durumunda kararı ve bildirim tarihini saklar. Bu, tek tip ulusal atölye ruhsatı bulunduğu iddiası değil, farklı aşamaları anlamaya yarayan bir örnektir.</w:t>
      </w:r>
    </w:p>
    <w:p>
      <w:pPr>
        <w:spacing w:after="140"/>
      </w:pPr>
      <w:r>
        <w:rPr>
          <w:sz w:val="24"/>
          <w:szCs w:val="24"/>
        </w:rPr>
        <w:t xml:space="preserve">Genel kuralın değiştirilmesi, gişe çalışanının görevinden farklı yasama veya düzenleme konusudur. Bireysel uygulama yanlışsa idari inceleme ya da yargısal yol gündeme gelebilir. Özel mal sahibiyle anlaşmazlık başka meseledir. Tek ekonomik faaliyet birden çok kurumla karşılaşabilir; bu onların yetkilerini birleştirmez. Her şeyi çözecek tek tanıdık aramak yerine sorunun hangi aşamada, hangi belgeyle ve hangi yetkiyle ilgili olduğunu belirlemek daha sağlam başlangıç sağlar.</w:t>
      </w:r>
    </w:p>
    <w:p>
      <w:pPr>
        <w:spacing w:after="140"/>
      </w:pPr>
      <w:r>
        <w:rPr>
          <w:sz w:val="24"/>
          <w:szCs w:val="24"/>
        </w:rPr>
        <w:t xml:space="preserve">Küçük bir yurttaşlık dosyası hazırlayın</w:t>
      </w:r>
    </w:p>
    <w:p>
      <w:pPr>
        <w:spacing w:after="140"/>
      </w:pPr>
      <w:r>
        <w:rPr>
          <w:sz w:val="24"/>
          <w:szCs w:val="24"/>
        </w:rPr>
        <w:t xml:space="preserve">Asıl kaynak bağlantısını, belge tarihini ve numarasını kısa kapsam notuyla saklayın. Güncellenen bilgiyi eski sürümden ayırın. Ortak okuma listesine şifre veya hassas aile belgesi eklemeyin. Birine sistemi anlatırken tanıdığı hizmetten başlayın: şartı kim koyuyor, başvuruyu kim alıyor, anlaşmazlığı kim inceliyor? Kavramlar böylece unvan ezberinden çıkar, günlük soruya bağlanır. Herkesin hukukçu olması gerekmez; kurumla kişi, sözle karar ve iddiayla hüküm arasındaki farkı bilmek yeterince önemli ilerlemedir.</w:t>
      </w:r>
    </w:p>
    <w:p>
      <w:pPr>
        <w:spacing w:after="140"/>
      </w:pPr>
      <w:r>
        <w:rPr>
          <w:sz w:val="24"/>
          <w:szCs w:val="24"/>
        </w:rPr>
        <w:t xml:space="preserve">Sık sorulan sorular</w:t>
      </w:r>
    </w:p>
    <w:p>
      <w:pPr>
        <w:spacing w:after="140"/>
      </w:pPr>
      <w:r>
        <w:rPr>
          <w:sz w:val="24"/>
          <w:szCs w:val="24"/>
        </w:rPr>
        <w:t xml:space="preserve">Bu, kalıcı anayasal düzenin açıklaması mı?</w:t>
      </w:r>
    </w:p>
    <w:p>
      <w:pPr>
        <w:spacing w:after="140"/>
      </w:pPr>
      <w:r>
        <w:rPr>
          <w:sz w:val="24"/>
          <w:szCs w:val="24"/>
        </w:rPr>
        <w:t xml:space="preserve">Hayır. 2025 bildirisi temelindeki geçiş çerçevesini ve 23 Ekim 2026’ya kadar doğrulanan gelişmeleri açıklar. Kalıcı anayasa ile ona göre seçimler ayrı aşamadır. Yeni düzenlemeler çıktığında rehber yeniden incelenmelidir; mevcut bilgi değişmez kabul edilmemelidir.</w:t>
      </w:r>
    </w:p>
    <w:p>
      <w:pPr>
        <w:spacing w:after="140"/>
      </w:pPr>
      <w:r>
        <w:rPr>
          <w:sz w:val="24"/>
          <w:szCs w:val="24"/>
        </w:rPr>
        <w:t xml:space="preserve">Cumhurbaşkanlığı ve hükümet aynı şey mi?</w:t>
      </w:r>
    </w:p>
    <w:p>
      <w:pPr>
        <w:spacing w:after="140"/>
      </w:pPr>
      <w:r>
        <w:rPr>
          <w:sz w:val="24"/>
          <w:szCs w:val="24"/>
        </w:rPr>
        <w:t xml:space="preserve">Her görevi anlatan eş anlamlı iki ad değildir. Bildiri yürütmeyi cumhurbaşkanı ve bakanlara verir; bakanları cumhurbaşkanı atar ve görevden alır. Bakanlığın sektörel görevleri ve örgütlenmesi için kendi düzenlemeleri ayrıca okunmalıdır.</w:t>
      </w:r>
    </w:p>
    <w:p>
      <w:pPr>
        <w:spacing w:after="140"/>
      </w:pPr>
      <w:r>
        <w:rPr>
          <w:sz w:val="24"/>
          <w:szCs w:val="24"/>
        </w:rPr>
        <w:t xml:space="preserve">Meclis üyesi ruhsatımı onaylayabilir veya davamı sonuçlandırabilir mi?</w:t>
      </w:r>
    </w:p>
    <w:p>
      <w:pPr>
        <w:spacing w:after="140"/>
      </w:pPr>
      <w:r>
        <w:rPr>
          <w:sz w:val="24"/>
          <w:szCs w:val="24"/>
        </w:rPr>
        <w:t xml:space="preserve">Yasama çalışması idari izin ve yargı kararından farklıdır. Genel sorun meclis mekanizmalarına taşınabilir; fakat üyenin desteği yetkili birimin işleminin veya görevli mahkemenin kararının yerine geçmez. Doğru başlangıç ilgili hizmet veya usuldür.</w:t>
      </w:r>
    </w:p>
    <w:p>
      <w:pPr>
        <w:spacing w:after="140"/>
      </w:pPr>
      <w:r>
        <w:rPr>
          <w:sz w:val="24"/>
          <w:szCs w:val="24"/>
        </w:rPr>
        <w:t xml:space="preserve">Bütün üyeler doğrudan genel oyla mı seçildi?</w:t>
      </w:r>
    </w:p>
    <w:p>
      <w:pPr>
        <w:spacing w:after="140"/>
      </w:pPr>
      <w:r>
        <w:rPr>
          <w:sz w:val="24"/>
          <w:szCs w:val="24"/>
        </w:rPr>
        <w:t xml:space="preserve">Bildiri, üçte ikinin yüksek komite gözetimindeki seçici kurullarca seçilmesini ve üçte birin cumhurbaşkanınca atanmasını öngörür. Belirli çevre veya aşama için geçici seçim düzeni ve tarihli uygulama kararları incelenmelidir.</w:t>
      </w:r>
    </w:p>
    <w:p>
      <w:pPr>
        <w:spacing w:after="140"/>
      </w:pPr>
      <w:r>
        <w:rPr>
          <w:sz w:val="24"/>
          <w:szCs w:val="24"/>
        </w:rPr>
        <w:t xml:space="preserve">Bakanlığa şikâyet itiraz süresini durdurur mu?</w:t>
      </w:r>
    </w:p>
    <w:p>
      <w:pPr>
        <w:spacing w:after="140"/>
      </w:pPr>
      <w:r>
        <w:rPr>
          <w:sz w:val="24"/>
          <w:szCs w:val="24"/>
        </w:rPr>
        <w:t xml:space="preserve">Öyle olduğu varsayılmamalıdır. İdari şikâyet ve yargısal yolun şartı, süresi ve etkisi farklı olabilir. Tebligat kayıtlarını koruyun; hak, önemli para veya hukuki durum söz konusuysa zamanında uzman değerlendirmesi alın.</w:t>
      </w:r>
    </w:p>
    <w:p>
      <w:pPr>
        <w:spacing w:after="140"/>
      </w:pPr>
      <w:r>
        <w:rPr>
          <w:sz w:val="24"/>
          <w:szCs w:val="24"/>
        </w:rPr>
        <w:t xml:space="preserve">Ardından hangi yazı okunmalı?</w:t>
      </w:r>
    </w:p>
    <w:p>
      <w:pPr>
        <w:spacing w:after="140"/>
      </w:pPr>
      <w:r>
        <w:rPr>
          <w:sz w:val="24"/>
          <w:szCs w:val="24"/>
        </w:rPr>
        <w:t xml:space="preserve">Tamamlayıcı rehber bakanlıkları, illeri, ilçeleri, nahiyeleri ve yerel idareyi açıklar. Bu yazı kamu yetkilerini ayırır; diğeri coğrafi konumu hukuki sorumlulukla karıştırmadan başvurunun doğru kurumunu bulmanıza yardımcı olur.</w:t>
      </w:r>
    </w:p>
    <w:p>
      <w:pPr>
        <w:spacing w:after="140"/>
      </w:pPr>
      <w:r>
        <w:rPr>
          <w:sz w:val="24"/>
          <w:szCs w:val="24"/>
        </w:rPr>
        <w:t xml:space="preserve">Kaynaklar ve ek okumalar</w:t>
      </w:r>
    </w:p>
    <w:p>
      <w:pPr>
        <w:spacing w:after="140"/>
      </w:pPr>
      <w:r>
        <w:rPr>
          <w:sz w:val="24"/>
          <w:szCs w:val="24"/>
        </w:rPr>
        <w:t xml:space="preserve">Presidency — Constitutional Declaration, 13 March 2025 (Arabic original reproduced by Syrian Memory)</w:t>
      </w:r>
    </w:p>
    <w:p>
      <w:pPr>
        <w:spacing w:after="140"/>
      </w:pPr>
      <w:r>
        <w:rPr>
          <w:sz w:val="24"/>
          <w:szCs w:val="24"/>
        </w:rPr>
        <w:t xml:space="preserve">SANA — First sitting of the People’s Assembly, 12 July 2026</w:t>
      </w:r>
    </w:p>
    <w:p>
      <w:pPr>
        <w:spacing w:after="140"/>
      </w:pPr>
      <w:r>
        <w:rPr>
          <w:sz w:val="24"/>
          <w:szCs w:val="24"/>
        </w:rPr>
        <w:t xml:space="preserve">Presidency / SANA — Temporary electoral system, Decree 143 of 2025</w:t>
      </w:r>
    </w:p>
    <w:p>
      <w:pPr>
        <w:spacing w:after="140"/>
      </w:pPr>
      <w:r>
        <w:rPr>
          <w:sz w:val="24"/>
          <w:szCs w:val="24"/>
        </w:rPr>
        <w:t xml:space="preserve">Presidency / SANA — Constitutional Court appointments and transitional functions, 7 July 2026</w:t>
      </w:r>
    </w:p>
    <w:p>
      <w:pPr>
        <w:spacing w:after="140"/>
      </w:pPr>
      <w:r>
        <w:rPr>
          <w:sz w:val="24"/>
          <w:szCs w:val="24"/>
        </w:rPr>
        <w:t xml:space="preserve">SANA — Constitutional Court president on the draft organisational law, 21 July 2026</w:t>
      </w:r>
    </w:p>
    <w:p>
      <w:pPr>
        <w:spacing w:after="140"/>
      </w:pPr>
      <w:r>
        <w:rPr>
          <w:sz w:val="24"/>
          <w:szCs w:val="24"/>
        </w:rPr>
        <w:t xml:space="preserve">Bsouria üzerinde keşfedin</w:t>
      </w:r>
    </w:p>
    <w:p>
      <w:pPr>
        <w:spacing w:after="140"/>
      </w:pPr>
      <w:r>
        <w:rPr>
          <w:sz w:val="24"/>
          <w:szCs w:val="24"/>
        </w:rPr>
        <w:t xml:space="preserve">İş fırsatları · İşletme rehberi · Tamamlayıcı yazı</w:t>
      </w:r>
    </w:p>
    <w:p>
      <w:pPr>
        <w:spacing w:after="140"/>
      </w:pPr>
      <w:r>
        <w:rPr>
          <w:sz w:val="24"/>
          <w:szCs w:val="24"/>
        </w:rPr>
        <w:t xml:space="preserve">Görsel kaynakları ve kullanım hakları</w:t>
      </w:r>
    </w:p>
    <w:p>
      <w:pPr>
        <w:spacing w:after="140"/>
      </w:pPr>
      <w:r>
        <w:rPr>
          <w:sz w:val="24"/>
          <w:szCs w:val="24"/>
        </w:rPr>
        <w:t xml:space="preserve">Fotoğraf tarihleri ve temsili sahneler açıklamalarda belirtilir. Arşivler güncel durumu veya fon projelerini belgelemez. Eğitsel şemalar Bsouria tarafından hazırlanmıştır.</w:t>
      </w:r>
    </w:p>
    <w:p>
      <w:pPr>
        <w:spacing w:after="140"/>
      </w:pPr>
      <w:r>
        <w:rPr>
          <w:sz w:val="24"/>
          <w:szCs w:val="24"/>
        </w:rPr>
        <w:t xml:space="preserve">Suriye parlamento binası, 1950–1955; tarihî fotoğraf — Unknown author / Wikimedia Commons · Public domain. Kırpılıp boyutlandırıldı; güncel durumu kanıtlamaz.</w:t>
      </w:r>
    </w:p>
    <w:p>
      <w:pPr>
        <w:spacing w:after="140"/>
      </w:pPr>
      <w:r>
        <w:rPr>
          <w:sz w:val="24"/>
          <w:szCs w:val="24"/>
        </w:rPr>
        <w:t xml:space="preserve">Suriye parlamento salonu, 1955; günümüzdeki meclisi göstermez — Unknown author / Wikimedia Commons · Public domain. Kırpılıp boyutlandırıldı; güncel durumu kanıtlamaz.</w:t>
      </w:r>
    </w:p>
    <w:p>
      <w:pPr>
        <w:spacing w:after="140"/>
      </w:pPr>
      <w:r>
        <w:rPr>
          <w:sz w:val="24"/>
          <w:szCs w:val="24"/>
        </w:rPr>
        <w:t xml:space="preserve">Güncellenen slayt gösterisi lisansı: CC BY-SA 4.0. Kaynak, yazar ve görsel lisansları yukarıdadır; kırpılmış görseller ve kesitleri özgün veya uyumlu lisansı korur.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Suriye’yi Kim Yönetiyor? Cumhurbaşkanlığı, Hükümet, Halk Meclisi ve Yargı Rehberi</dc:title>
  <dc:creator>Bsouria</dc:creator>
  <cp:lastModifiedBy>Bsouria</cp:lastModifiedBy>
  <dcterms:created xsi:type="dcterms:W3CDTF">2026-10-30T16:50:58Z</dcterms:created>
</cp:coreProperties>
</file>