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Vergi ve Harç Rehberi: İşletmeler ve Bireyler İçin Uygulama</w:t>
      </w:r>
    </w:p>
    <w:p>
      <w:pPr/>
      <w:r>
        <w:rPr>
          <w:i/>
          <w:color w:val="64736B"/>
        </w:rPr>
        <w:t>Bsouria Editorial Team · 2026-07-26</w:t>
      </w:r>
    </w:p>
    <w:p>
      <w:pPr>
        <w:spacing w:after="220"/>
      </w:pPr>
      <w:r>
        <w:rPr>
          <w:i/>
        </w:rPr>
        <w:t>Gelir, bordro, gayrimenkul, damga ve ruhsat yükümlülükleri ile ithalatçı vergi avansı, inceleme, itiraz ve uygulama adımlarını açıklayan güncel rehber.</w:t>
      </w:r>
    </w:p>
    <w:p>
      <w:pPr>
        <w:spacing w:after="140"/>
      </w:pPr>
      <w:r>
        <w:rPr>
          <w:sz w:val="24"/>
          <w:szCs w:val="24"/>
        </w:rPr>
        <w:t xml:space="preserve">Vergi ve harçlar yalnızca yıl sonunda hesaplanan bir kalem değildir. Şirket türünü, fiyatlandırmayı, sözleşmeleri, ithalatı, bordroyu, gayrimenkul işlemlerini ve kâr dağıtımını etkiler. “Vergi” sözcüğü gelir vergisi, harç, mahsup edilecek avans, stopaj, ceza veya hizmet bedeli için yanlış biçimde kullanılabilir. Doğru uyum; tutarın hukuki adını, yükümlüyü, vade tarihini ve ödeme kanıtını belirlemekle başlar.</w:t>
      </w:r>
    </w:p>
    <w:p>
      <w:pPr>
        <w:spacing w:after="140"/>
      </w:pPr>
      <w:r>
        <w:rPr>
          <w:sz w:val="24"/>
          <w:szCs w:val="24"/>
        </w:rPr>
        <w:t xml:space="preserve">Son editoryal inceleme: 25 Temmuz 2026. Suriye vergi sistemi hızlı bir mevzuat ve dijital dönüşüm dönemindedir. Maliye Bakanlığı 2026’da birleşik gelir vergisi, satış vergisi, gayrimenkul satış vergisi ve damga vergisine ilişkin düzenlemelerin hazırlanmakta veya tamamlanmakta olduğunu açıkladı. Güncel oran, süre ve formu Vergi ve Harçlar Genel Komisyonu ya da yetkili maliye müdürlüğünden teyit etmeden kullanmayın.</w:t>
      </w:r>
    </w:p>
    <w:p>
      <w:pPr>
        <w:spacing w:after="140"/>
      </w:pPr>
      <w:r>
        <w:rPr>
          <w:sz w:val="24"/>
          <w:szCs w:val="24"/>
        </w:rPr>
        <w:t xml:space="preserve">Bu rehberin amacı</w:t>
      </w:r>
    </w:p>
    <w:p>
      <w:pPr>
        <w:spacing w:after="140"/>
      </w:pPr>
      <w:r>
        <w:rPr>
          <w:sz w:val="24"/>
          <w:szCs w:val="24"/>
        </w:rPr>
        <w:t xml:space="preserve">Bu rehber bireyler, meslek sahipleri, tüccarlar, şirketler ve yatırımcılar için Suriye’deki vergi yükümlülüklerini pratik bir haritaya dönüştürür. Yük; hukuki yapı, gerçek faaliyet, kayıt düzeni, yer, ithalat, çalışanlar ve gayrimenkul işlemlerine göre değişir.</w:t>
      </w:r>
    </w:p>
    <w:p>
      <w:pPr>
        <w:spacing w:after="140"/>
      </w:pPr>
      <w:r>
        <w:rPr>
          <w:sz w:val="24"/>
          <w:szCs w:val="24"/>
        </w:rPr>
        <w:t xml:space="preserve">Yeni bir işe başlamadan önce iş fırsatı durum tespiti kontrol listesini inceleyin; muhasebeci ve danışmanları Şirketler ve İş Rehberi üzerinden araştırın. Güncellemeler için Vergiler ve Harçlar ile uygulamalı rehberleri takip edin.</w:t>
      </w:r>
    </w:p>
    <w:p>
      <w:pPr>
        <w:spacing w:after="140"/>
      </w:pPr>
      <w:r>
        <w:rPr>
          <w:sz w:val="24"/>
          <w:szCs w:val="24"/>
        </w:rPr>
        <w:t xml:space="preserve">2026 mevzuat durumunu doğru okuyun</w:t>
      </w:r>
    </w:p>
    <w:p>
      <w:pPr>
        <w:spacing w:after="140"/>
      </w:pPr>
      <w:r>
        <w:rPr>
          <w:sz w:val="24"/>
          <w:szCs w:val="24"/>
        </w:rPr>
        <w:t xml:space="preserve">Mart 2026’da birleşik gelir vergisi, satış vergisi, gayrimenkul satış vergisi ve damga vergisi reformları ile e-fatura ve elektronik ödeme planları görüşüldü. Nisan ayında şirketleri vergi numarası ve ticaret sicili üzerinden Maliye Bakanlığına bağlaması öngörülen fatura sistemi tanıtıldı. Yeni metin, uygulama talimatı ve yürürlük tarihi yayımlanana kadar eski hükümlerin yürürlükte kalabileceğini unutmayın.</w:t>
      </w:r>
    </w:p>
    <w:p>
      <w:pPr>
        <w:spacing w:after="140"/>
      </w:pPr>
      <w:r>
        <w:rPr>
          <w:sz w:val="24"/>
          <w:szCs w:val="24"/>
        </w:rPr>
        <w:t xml:space="preserve">Taslak, yayımlanmış kanun, uygulama kararı ve açıklayıcı genelge aynı şey değildir. İlk kaynak olarak Vergi ve Harçlar Genel Komisyonunu ve en yeni Maliye Bakanlığı duyurusunu kullanın.</w:t>
      </w:r>
    </w:p>
    <w:p>
      <w:pPr>
        <w:spacing w:after="140"/>
      </w:pPr>
      <w:r>
        <w:rPr>
          <w:sz w:val="24"/>
          <w:szCs w:val="24"/>
        </w:rPr>
        <w:t xml:space="preserve">Vergi, harç, avans ve ceza farkı</w:t>
      </w:r>
    </w:p>
    <w:p>
      <w:pPr>
        <w:spacing w:after="140"/>
      </w:pPr>
      <w:r>
        <w:rPr>
          <w:sz w:val="24"/>
          <w:szCs w:val="24"/>
        </w:rPr>
        <w:t xml:space="preserve">Vergi</w:t>
      </w:r>
    </w:p>
    <w:p>
      <w:pPr>
        <w:spacing w:after="140"/>
      </w:pPr>
      <w:r>
        <w:rPr>
          <w:sz w:val="24"/>
          <w:szCs w:val="24"/>
        </w:rPr>
        <w:t xml:space="preserve">Gelir, kâr veya belirli bir işlem üzerinden kanunla alınan tutardır.</w:t>
      </w:r>
    </w:p>
    <w:p>
      <w:pPr>
        <w:spacing w:after="140"/>
      </w:pPr>
      <w:r>
        <w:rPr>
          <w:sz w:val="24"/>
          <w:szCs w:val="24"/>
        </w:rPr>
        <w:t xml:space="preserve">Harç</w:t>
      </w:r>
    </w:p>
    <w:p>
      <w:pPr>
        <w:spacing w:after="140"/>
      </w:pPr>
      <w:r>
        <w:rPr>
          <w:sz w:val="24"/>
          <w:szCs w:val="24"/>
        </w:rPr>
        <w:t xml:space="preserve">Belge, kayıt, ruhsat veya kamu hizmetine bağlı olabilir. Hesaplama ve tahsil makamı gelir vergisinden farklıdır.</w:t>
      </w:r>
    </w:p>
    <w:p>
      <w:pPr>
        <w:spacing w:after="140"/>
      </w:pPr>
      <w:r>
        <w:rPr>
          <w:sz w:val="24"/>
          <w:szCs w:val="24"/>
        </w:rPr>
        <w:t xml:space="preserve">Vergi avansı</w:t>
      </w:r>
    </w:p>
    <w:p>
      <w:pPr>
        <w:spacing w:after="140"/>
      </w:pPr>
      <w:r>
        <w:rPr>
          <w:sz w:val="24"/>
          <w:szCs w:val="24"/>
        </w:rPr>
        <w:t xml:space="preserve">Nihai tarhiyata mahsup edilmek üzere önceden ödenen tutardır. Nakit akışını etkiler fakat kendiliğinden nihai gider sayılmaz.</w:t>
      </w:r>
    </w:p>
    <w:p>
      <w:pPr>
        <w:spacing w:after="140"/>
      </w:pPr>
      <w:r>
        <w:rPr>
          <w:sz w:val="24"/>
          <w:szCs w:val="24"/>
        </w:rPr>
        <w:t xml:space="preserve">Gecikme ve ceza</w:t>
      </w:r>
    </w:p>
    <w:p>
      <w:pPr>
        <w:spacing w:after="140"/>
      </w:pPr>
      <w:r>
        <w:rPr>
          <w:sz w:val="24"/>
          <w:szCs w:val="24"/>
        </w:rPr>
        <w:t xml:space="preserve">Süre aşımı veya yükümlülük ihlali nedeniyle doğar. Vergi takvimi ve düzgün belge düzeni birçok cezayı önler.</w:t>
      </w:r>
    </w:p>
    <w:p>
      <w:pPr>
        <w:spacing w:after="140"/>
      </w:pPr>
      <w:r>
        <w:rPr>
          <w:sz w:val="24"/>
          <w:szCs w:val="24"/>
        </w:rPr>
        <w:t xml:space="preserve">Kim yükümlüdür?</w:t>
      </w:r>
    </w:p>
    <w:p>
      <w:pPr>
        <w:spacing w:after="140"/>
      </w:pPr>
      <w:r>
        <w:rPr>
          <w:sz w:val="24"/>
          <w:szCs w:val="24"/>
        </w:rPr>
        <w:t xml:space="preserve">Yükümlü gerçek kişi, serbest meslek sahibi, şahıs işletmesi, şirket, işveren, gayrimenkul sahibi veya ithalatçı olabilir. Hukuki yapı, fiili faaliyet, faaliyet yeri, gelir-gider kanıtları ve ithalat ya da çalışan gibi ek olayları ayrı ayrı belirleyin.</w:t>
      </w:r>
    </w:p>
    <w:p>
      <w:pPr>
        <w:spacing w:after="140"/>
      </w:pPr>
      <w:r>
        <w:rPr>
          <w:sz w:val="24"/>
          <w:szCs w:val="24"/>
        </w:rPr>
        <w:t xml:space="preserve">Şirket kaydı tek başına tüm yükümlülükleri çözmez. Ruhsat, vergi, sosyal sigorta, damga, belediye ve gümrük için ayrı kurumlar olabilir. Her kalem için kurum, süre, belge ve sorumlu çalışanı içeren bir yükümlülük tablosu oluşturun.</w:t>
      </w:r>
    </w:p>
    <w:p>
      <w:pPr>
        <w:spacing w:after="140"/>
      </w:pPr>
      <w:r>
        <w:rPr>
          <w:sz w:val="24"/>
          <w:szCs w:val="24"/>
        </w:rPr>
        <w:t xml:space="preserve">Şirket kurmadan önce</w:t>
      </w:r>
    </w:p>
    <w:p>
      <w:pPr>
        <w:spacing w:after="140"/>
      </w:pPr>
      <w:r>
        <w:rPr>
          <w:sz w:val="24"/>
          <w:szCs w:val="24"/>
        </w:rPr>
        <w:t xml:space="preserve">Hukuki türleri yalnızca kuruluş harcıyla değil; sorumluluk, yönetim, muhasebe, kâr dağıtımı ve yatırımcı alma kapasitesiyle karşılaştırın. Başlangıçta ucuz görünen yapı büyüme sırasında pahalı bir dönüşüm gerektirebilir.</w:t>
      </w:r>
    </w:p>
    <w:p>
      <w:pPr>
        <w:spacing w:after="140"/>
      </w:pPr>
      <w:r>
        <w:rPr>
          <w:sz w:val="24"/>
          <w:szCs w:val="24"/>
        </w:rPr>
        <w:t xml:space="preserve">Kayıt, ruhsat, oda aidatı, muhasebe, fatura sistemi, bordro ve gerçekçi ciro senaryosuna göre vergi tahmini isteyin. Hizmet sağlayıcıları İş Rehberinde karşılaştırabilir veya şirket profilinizi yayımlayabilirsiniz.</w:t>
      </w:r>
    </w:p>
    <w:p>
      <w:pPr>
        <w:spacing w:after="140"/>
      </w:pPr>
      <w:r>
        <w:rPr>
          <w:sz w:val="24"/>
          <w:szCs w:val="24"/>
        </w:rPr>
        <w:t xml:space="preserve">Gelir ve kazanç vergisi</w:t>
      </w:r>
    </w:p>
    <w:p>
      <w:pPr>
        <w:spacing w:after="140"/>
      </w:pPr>
      <w:r>
        <w:rPr>
          <w:sz w:val="24"/>
          <w:szCs w:val="24"/>
        </w:rPr>
        <w:t xml:space="preserve">Suriye’de tarihsel olarak gerçek kazanç, götürü/karineye dayalı gelir ve ücretler gibi kategoriler bulunmuştur. 2026’da birleşik gelir vergisi çalışması duyuruldu. Bu nedenle eski bir oranı kopyalamak yerine faaliyetiniz için yürürlükteki kategori ve hesap yöntemini maliye müdürlüğünden teyit edin.</w:t>
      </w:r>
    </w:p>
    <w:p>
      <w:pPr>
        <w:spacing w:after="140"/>
      </w:pPr>
      <w:r>
        <w:rPr>
          <w:sz w:val="24"/>
          <w:szCs w:val="24"/>
        </w:rPr>
        <w:t xml:space="preserve">Gerçek kazanç</w:t>
      </w:r>
    </w:p>
    <w:p>
      <w:pPr>
        <w:spacing w:after="140"/>
      </w:pPr>
      <w:r>
        <w:rPr>
          <w:sz w:val="24"/>
          <w:szCs w:val="24"/>
        </w:rPr>
        <w:t xml:space="preserve">Gelir, kabul edilen gider ve sonuç; defter, fatura, sözleşme, banka ve stok kayıtlarıyla desteklenir. Ödenmiş her gider otomatik olarak indirilebilir değildir.</w:t>
      </w:r>
    </w:p>
    <w:p>
      <w:pPr>
        <w:spacing w:after="140"/>
      </w:pPr>
      <w:r>
        <w:rPr>
          <w:sz w:val="24"/>
          <w:szCs w:val="24"/>
        </w:rPr>
        <w:t xml:space="preserve">Götürü veya tahmini gelir</w:t>
      </w:r>
    </w:p>
    <w:p>
      <w:pPr>
        <w:spacing w:after="140"/>
      </w:pPr>
      <w:r>
        <w:rPr>
          <w:sz w:val="24"/>
          <w:szCs w:val="24"/>
        </w:rPr>
        <w:t xml:space="preserve">Faaliyet, yer, büyüklük ve başka göstergeler önem taşır. Meslek tanımı ve işletme bilgileri yanlışsa süresi içinde düzeltme veya itiraz yapın.</w:t>
      </w:r>
    </w:p>
    <w:p>
      <w:pPr>
        <w:spacing w:after="140"/>
      </w:pPr>
      <w:r>
        <w:rPr>
          <w:sz w:val="24"/>
          <w:szCs w:val="24"/>
        </w:rPr>
        <w:t xml:space="preserve">Ücretler</w:t>
      </w:r>
    </w:p>
    <w:p>
      <w:pPr>
        <w:spacing w:after="140"/>
      </w:pPr>
      <w:r>
        <w:rPr>
          <w:sz w:val="24"/>
          <w:szCs w:val="24"/>
        </w:rPr>
        <w:t xml:space="preserve">Bordro vergisi, kesintiler, bildirim, sosyal sigorta ve iş sözleşmeleri birlikte uyumlu olmalıdır.</w:t>
      </w:r>
    </w:p>
    <w:p>
      <w:pPr>
        <w:spacing w:after="140"/>
      </w:pPr>
      <w:r>
        <w:rPr>
          <w:sz w:val="24"/>
          <w:szCs w:val="24"/>
        </w:rPr>
        <w:t xml:space="preserve">Satış vergisi ve tüketim harçları</w:t>
      </w:r>
    </w:p>
    <w:p>
      <w:pPr>
        <w:spacing w:after="140"/>
      </w:pPr>
      <w:r>
        <w:rPr>
          <w:sz w:val="24"/>
          <w:szCs w:val="24"/>
        </w:rPr>
        <w:t xml:space="preserve">Satış vergisine ilişkin yeni düzenleme 2026 reform gündeminde yer aldı. “KDV” ifadesinin kullanılması tek başına kapsamlı bir KDV sisteminin yürürlükte olduğu anlamına gelmez. Kanunun yayımlanıp yayımlanmadığını, başlangıç tarihini, kayıt sınırlarını, istisnaları ve geçiş kurallarını doğrulayın.</w:t>
      </w:r>
    </w:p>
    <w:p>
      <w:pPr>
        <w:spacing w:after="140"/>
      </w:pPr>
      <w:r>
        <w:rPr>
          <w:sz w:val="24"/>
          <w:szCs w:val="24"/>
        </w:rPr>
        <w:t xml:space="preserve">Mevcut tüketim veya sektör harçlarını gelecekteki satış vergisiyle karıştırmayın. Sözleşmede fiyatın vergi ve harçları içerip içermediğini ve teslimden önceki mevzuat değişikliğinin kime ait olduğunu yazın.</w:t>
      </w:r>
    </w:p>
    <w:p>
      <w:pPr>
        <w:spacing w:after="140"/>
      </w:pPr>
      <w:r>
        <w:rPr>
          <w:sz w:val="24"/>
          <w:szCs w:val="24"/>
        </w:rPr>
        <w:t xml:space="preserve">2026 ithalatçı vergi avansı ve borcu yoktur belgesi</w:t>
      </w:r>
    </w:p>
    <w:p>
      <w:pPr>
        <w:spacing w:after="140"/>
      </w:pPr>
      <w:r>
        <w:rPr>
          <w:sz w:val="24"/>
          <w:szCs w:val="24"/>
        </w:rPr>
        <w:t xml:space="preserve">24 Mart 2026 tarihli resmî açıklamaya göre ithalatçılardan kararda belirtilen matrah üzerinden %2 gelir vergisi avansı alınması ve uygulamanın 1 Nisan 2026’da başlaması kararlaştırıldı. Bakanlık bunun yeni nihai vergi değil, daha sonra mahsup edilecek ödeme olduğunu belirtti. 1 Temmuz 2026’dan itibaren ithalatta geçerli mali borcu yoktur belgesi de istendi.</w:t>
      </w:r>
    </w:p>
    <w:p>
      <w:pPr>
        <w:spacing w:after="140"/>
      </w:pPr>
      <w:r>
        <w:rPr>
          <w:sz w:val="24"/>
          <w:szCs w:val="24"/>
        </w:rPr>
        <w:t xml:space="preserve">İsim, vergi numarası, ticaret sicili, gümrük beyannamesi ve makbuzu eşleştirin. Avansı mahsup edilecek kredi olarak izleyin ve nakit etkisini bütçeye alın. Ayrıntılar için Suriye ithalat-ihracat rehberine bakın.</w:t>
      </w:r>
    </w:p>
    <w:p>
      <w:pPr>
        <w:spacing w:after="140"/>
      </w:pPr>
      <w:r>
        <w:rPr>
          <w:sz w:val="24"/>
          <w:szCs w:val="24"/>
        </w:rPr>
        <w:t xml:space="preserve">Gayrimenkul vergi ve harçları</w:t>
      </w:r>
    </w:p>
    <w:p>
      <w:pPr>
        <w:spacing w:after="140"/>
      </w:pPr>
      <w:r>
        <w:rPr>
          <w:sz w:val="24"/>
          <w:szCs w:val="24"/>
        </w:rPr>
        <w:t xml:space="preserve">Satış vergisi, devir ve tescil harçları, damga, kira gelirine ilişkin yükümlülükler ve borcu yoktur belgesi aynı işlemde bir araya gelebilir. 15/2021 sayılı kanun güncel değer esasını kullandı; gayrimenkul satış vergisi 2026 reform gündeminde yeniden ele alındı.</w:t>
      </w:r>
    </w:p>
    <w:p>
      <w:pPr>
        <w:spacing w:after="140"/>
      </w:pPr>
      <w:r>
        <w:rPr>
          <w:sz w:val="24"/>
          <w:szCs w:val="24"/>
        </w:rPr>
        <w:t xml:space="preserve">Kapora ödemeden önce yetkili kurumdan güncel yazılı hesap alın ve sözleşmede her kalemin ekonomik yükünü belirleyin. Yalnızca tarafların yazdığı satış bedeline güvenmeyin. Gayrimenkul yazılarını da inceleyin.</w:t>
      </w:r>
    </w:p>
    <w:p>
      <w:pPr>
        <w:spacing w:after="140"/>
      </w:pPr>
      <w:r>
        <w:rPr>
          <w:sz w:val="24"/>
          <w:szCs w:val="24"/>
        </w:rPr>
        <w:t xml:space="preserve">Damga vergisi ve sözleşmeler</w:t>
      </w:r>
    </w:p>
    <w:p>
      <w:pPr>
        <w:spacing w:after="140"/>
      </w:pPr>
      <w:r>
        <w:rPr>
          <w:sz w:val="24"/>
          <w:szCs w:val="24"/>
        </w:rPr>
        <w:t xml:space="preserve">Damga, sözleşme ve belgelerin türü, değeri ve resmî kullanımıyla bağlantılı olabilir. Önce imzalayıp sonra resmî kullanım sırasında vergi ve ceza öğrenmek yaygın hatadır. Matrahı, nüshaları, süreyi ve sorumlu tarafı önceden teyit edin.</w:t>
      </w:r>
    </w:p>
    <w:p>
      <w:pPr>
        <w:spacing w:after="140"/>
      </w:pPr>
      <w:r>
        <w:rPr>
          <w:sz w:val="24"/>
          <w:szCs w:val="24"/>
        </w:rPr>
        <w:t xml:space="preserve">Yerel ve sektörel harçlar</w:t>
      </w:r>
    </w:p>
    <w:p>
      <w:pPr>
        <w:spacing w:after="140"/>
      </w:pPr>
      <w:r>
        <w:rPr>
          <w:sz w:val="24"/>
          <w:szCs w:val="24"/>
        </w:rPr>
        <w:t xml:space="preserve">Belediye, meslek, sağlık, reklam, çevre ve turizm ruhsatları faaliyet ve yere göre değişebilir. Bir gıda dükkânı, fabrika, depo ve ofis aynı izin yolunu izlemez. Tek seferlik ücretleri yenileme harçlarından ayırın ve mekâna yatırım yapmadan önce ruhsat uygunluğunu doğrulayın.</w:t>
      </w:r>
    </w:p>
    <w:p>
      <w:pPr>
        <w:spacing w:after="140"/>
      </w:pPr>
      <w:r>
        <w:rPr>
          <w:sz w:val="24"/>
          <w:szCs w:val="24"/>
        </w:rPr>
        <w:t xml:space="preserve">Sosyal sigorta ayrı bir yükümlülüktür</w:t>
      </w:r>
    </w:p>
    <w:p>
      <w:pPr>
        <w:spacing w:after="140"/>
      </w:pPr>
      <w:r>
        <w:rPr>
          <w:sz w:val="24"/>
          <w:szCs w:val="24"/>
        </w:rPr>
        <w:t xml:space="preserve">Bordro vergisi ile sosyal sigorta primlerini ayrı hesaplayın. Çalışanın gerçek maliyeti net ücret, işveren payları, izin ve diğer yan hakları kapsar. Kayıtların karışması hem fiyatlandırma hem de kurum bildirimlerinde fark yaratır.</w:t>
      </w:r>
    </w:p>
    <w:p>
      <w:pPr>
        <w:spacing w:after="140"/>
      </w:pPr>
      <w:r>
        <w:rPr>
          <w:sz w:val="24"/>
          <w:szCs w:val="24"/>
        </w:rPr>
        <w:t xml:space="preserve">Defter, fatura ve kanıt</w:t>
      </w:r>
    </w:p>
    <w:p>
      <w:pPr>
        <w:spacing w:after="140"/>
      </w:pPr>
      <w:r>
        <w:rPr>
          <w:sz w:val="24"/>
          <w:szCs w:val="24"/>
        </w:rPr>
        <w:t xml:space="preserve">En güçlü savunma, tarhiyattan önce hazırlanmış düzenli dosyadır. Sözleşmeleri, satış ve alış faturalarını, ödeme kanıtlarını, banka ekstrelerini, stok kayıtlarını, gümrük beyannamelerini, bordroyu, kira ve sabit kıymet belgelerini saklayın.</w:t>
      </w:r>
    </w:p>
    <w:p>
      <w:pPr>
        <w:spacing w:after="140"/>
      </w:pPr>
      <w:r>
        <w:rPr>
          <w:sz w:val="24"/>
          <w:szCs w:val="24"/>
        </w:rPr>
        <w:t xml:space="preserve">Faturaları sıralı numaralandırın ve iptal izini koruyun. Satış-tahsilat-stok ile alış-tedarikçi-ödeme-teslim bağlantısını aylık olarak uzlaştırın.</w:t>
      </w:r>
    </w:p>
    <w:p>
      <w:pPr>
        <w:spacing w:after="140"/>
      </w:pPr>
      <w:r>
        <w:rPr>
          <w:sz w:val="24"/>
          <w:szCs w:val="24"/>
        </w:rPr>
        <w:t xml:space="preserve">E-fatura ve dijital dönüşüm</w:t>
      </w:r>
    </w:p>
    <w:p>
      <w:pPr>
        <w:spacing w:after="140"/>
      </w:pPr>
      <w:r>
        <w:rPr>
          <w:sz w:val="24"/>
          <w:szCs w:val="24"/>
        </w:rPr>
        <w:t xml:space="preserve">Nisan 2026’da şirketlerin vergi numarası ve ticaret siciliyle bakanlığa bağlanmasını hedefleyen sistem sunuldu. Bu, her işletmenin aynı gün aynı yükümlülüğe girdiği anlamına gelmese de otomatik veri eşleştirmesinin artacağını gösterir.</w:t>
      </w:r>
    </w:p>
    <w:p>
      <w:pPr>
        <w:spacing w:after="140"/>
      </w:pPr>
      <w:r>
        <w:rPr>
          <w:sz w:val="24"/>
          <w:szCs w:val="24"/>
        </w:rPr>
        <w:t xml:space="preserve">Sisteminiz fatura tarihi, müşteri, açıklama, miktar, fiyat, indirim ve harçları denetlenebilir biçimde saklamalıdır. Kullanıcı yetkilerini sınırlayın ve yedek alın.</w:t>
      </w:r>
    </w:p>
    <w:p>
      <w:pPr>
        <w:spacing w:after="140"/>
      </w:pPr>
      <w:r>
        <w:rPr>
          <w:sz w:val="24"/>
          <w:szCs w:val="24"/>
        </w:rPr>
        <w:t xml:space="preserve">Vergi takvimi oluşturun</w:t>
      </w:r>
    </w:p>
    <w:p>
      <w:pPr>
        <w:spacing w:after="140"/>
      </w:pPr>
      <w:r>
        <w:rPr>
          <w:sz w:val="24"/>
          <w:szCs w:val="24"/>
        </w:rPr>
        <w:t xml:space="preserve">Bildirim, ödeme, yenileme ve borcu yoktur belgesi sürelerini yıllık ve aylık takvime yazın. Tek seferlik uzatmayı kalıcı alışkanlık saymayın. Orijinal süreyi, resmî uzatmayı, belge listesini, sorumlu kişiyi ve makbuz numarasını kaydedin.</w:t>
      </w:r>
    </w:p>
    <w:p>
      <w:pPr>
        <w:spacing w:after="140"/>
      </w:pPr>
      <w:r>
        <w:rPr>
          <w:sz w:val="24"/>
          <w:szCs w:val="24"/>
        </w:rPr>
        <w:t xml:space="preserve">Borcu yoktur belgesi</w:t>
      </w:r>
    </w:p>
    <w:p>
      <w:pPr>
        <w:spacing w:after="140"/>
      </w:pPr>
      <w:r>
        <w:rPr>
          <w:sz w:val="24"/>
          <w:szCs w:val="24"/>
        </w:rPr>
        <w:t xml:space="preserve">Belgenin kapsamını, geçerlilik süresini ve düzenleyen makamı okuyun. Bir belge her yılı kapatmayabilir veya ilerideki denetimi engellemeyebilir. Şirket satın alırken yalnızca bu belgeye güvenmeyin; ticari ve hukuki doğrulama rehberini uygulayın.</w:t>
      </w:r>
    </w:p>
    <w:p>
      <w:pPr>
        <w:spacing w:after="140"/>
      </w:pPr>
      <w:r>
        <w:rPr>
          <w:sz w:val="24"/>
          <w:szCs w:val="24"/>
        </w:rPr>
        <w:t xml:space="preserve">Vergi incelemesine hazırlık</w:t>
      </w:r>
    </w:p>
    <w:p>
      <w:pPr>
        <w:spacing w:after="140"/>
      </w:pPr>
      <w:r>
        <w:rPr>
          <w:sz w:val="24"/>
          <w:szCs w:val="24"/>
        </w:rPr>
        <w:t xml:space="preserve">Satış-fatura, stok-alış, ithalat-gümrük ve bordro-çalışan listeleri karşılaştırılır. Açıklanamayan tutarsızlık, yüksek ama belgeli bir rakamdan daha risklidir. Tek bir iletişim sorumlusu belirleyin, teslim edilen belgeleri kaydedin ve anlamadığınız tutanağı imzalamayın.</w:t>
      </w:r>
    </w:p>
    <w:p>
      <w:pPr>
        <w:spacing w:after="140"/>
      </w:pPr>
      <w:r>
        <w:rPr>
          <w:sz w:val="24"/>
          <w:szCs w:val="24"/>
        </w:rPr>
        <w:t xml:space="preserve">İtiraz</w:t>
      </w:r>
    </w:p>
    <w:p>
      <w:pPr>
        <w:spacing w:after="140"/>
      </w:pPr>
      <w:r>
        <w:rPr>
          <w:sz w:val="24"/>
          <w:szCs w:val="24"/>
        </w:rPr>
        <w:t xml:space="preserve">İtiraz; bildirim tarihi, süre, yöntem, olası ödeme veya teminat ve yetkili komiteye bağlı resmî bir haktır. Kanıt uyuşmazlığın konusuna cevap vermelidir. “Tutar çok yüksek” tek başına delil değildir.</w:t>
      </w:r>
    </w:p>
    <w:p>
      <w:pPr>
        <w:spacing w:after="140"/>
      </w:pPr>
      <w:r>
        <w:rPr>
          <w:sz w:val="24"/>
          <w:szCs w:val="24"/>
        </w:rPr>
        <w:t xml:space="preserve">Cezaları azaltma</w:t>
      </w:r>
    </w:p>
    <w:p>
      <w:pPr>
        <w:spacing w:after="140"/>
      </w:pPr>
      <w:r>
        <w:rPr>
          <w:sz w:val="24"/>
          <w:szCs w:val="24"/>
        </w:rPr>
        <w:t xml:space="preserve">Adres, faaliyet ve ortak değişikliklerini zamanında kaydedin.</w:t>
      </w:r>
    </w:p>
    <w:p>
      <w:pPr>
        <w:spacing w:after="140"/>
      </w:pPr>
      <w:r>
        <w:rPr>
          <w:sz w:val="24"/>
          <w:szCs w:val="24"/>
        </w:rPr>
        <w:t xml:space="preserve">Gerekli beyannameleri zarar halinde de verin.</w:t>
      </w:r>
    </w:p>
    <w:p>
      <w:pPr>
        <w:spacing w:after="140"/>
      </w:pPr>
      <w:r>
        <w:rPr>
          <w:sz w:val="24"/>
          <w:szCs w:val="24"/>
        </w:rPr>
        <w:t xml:space="preserve">Başka işletmenin faturalarını veya kişisel hesabı kullanmayın.</w:t>
      </w:r>
    </w:p>
    <w:p>
      <w:pPr>
        <w:spacing w:after="140"/>
      </w:pPr>
      <w:r>
        <w:rPr>
          <w:sz w:val="24"/>
          <w:szCs w:val="24"/>
        </w:rPr>
        <w:t xml:space="preserve">Yıl sonundan önce banka, kasa ve stoku uzlaştırın.</w:t>
      </w:r>
    </w:p>
    <w:p>
      <w:pPr>
        <w:spacing w:after="140"/>
      </w:pPr>
      <w:r>
        <w:rPr>
          <w:sz w:val="24"/>
          <w:szCs w:val="24"/>
        </w:rPr>
        <w:t xml:space="preserve">Her bildirim ve ödemenin kanıtını saklayın.</w:t>
      </w:r>
    </w:p>
    <w:p>
      <w:pPr>
        <w:spacing w:after="140"/>
      </w:pPr>
      <w:r>
        <w:rPr>
          <w:sz w:val="24"/>
          <w:szCs w:val="24"/>
        </w:rPr>
        <w:t xml:space="preserve">Yalnızca resmî duyuruları izleyin.</w:t>
      </w:r>
    </w:p>
    <w:p>
      <w:pPr>
        <w:spacing w:after="140"/>
      </w:pPr>
      <w:r>
        <w:rPr>
          <w:sz w:val="24"/>
          <w:szCs w:val="24"/>
        </w:rPr>
        <w:t xml:space="preserve">Meşru planlama ve kaçakçılık farkı</w:t>
      </w:r>
    </w:p>
    <w:p>
      <w:pPr>
        <w:spacing w:after="140"/>
      </w:pPr>
      <w:r>
        <w:rPr>
          <w:sz w:val="24"/>
          <w:szCs w:val="24"/>
        </w:rPr>
        <w:t xml:space="preserve">Meşru planlama uygun hukuki yapı, şartları sağlanan istisna, doğru zamanlama ve belgeli gider kullanır. Kaçakçılık gelir gizler, sahte fatura veya göstermelik ithalatçı kullanır ya da yanıltıcı bilgi verir. Danışmandan hukuki dayanağı yazılı isteyin.</w:t>
      </w:r>
    </w:p>
    <w:p>
      <w:pPr>
        <w:spacing w:after="140"/>
      </w:pPr>
      <w:r>
        <w:rPr>
          <w:sz w:val="24"/>
          <w:szCs w:val="24"/>
        </w:rPr>
        <w:t xml:space="preserve">Fiyatlandırma ve nakit akışı</w:t>
      </w:r>
    </w:p>
    <w:p>
      <w:pPr>
        <w:spacing w:after="140"/>
      </w:pPr>
      <w:r>
        <w:rPr>
          <w:sz w:val="24"/>
          <w:szCs w:val="24"/>
        </w:rPr>
        <w:t xml:space="preserve">Vergi öncesi fiyatın üzerine doğrudan harçları, uyum maliyetini, nakdi bağlayan avansları ve uzun sözleşme risk payını ekleyin. Mahsup edilecek avans nihai gider olmayabilir; ancak mahsup tarihine kadar nakdi etkiler.</w:t>
      </w:r>
    </w:p>
    <w:p>
      <w:pPr>
        <w:spacing w:after="140"/>
      </w:pPr>
      <w:r>
        <w:rPr>
          <w:sz w:val="24"/>
          <w:szCs w:val="24"/>
        </w:rPr>
        <w:t xml:space="preserve">Basit maliyet modeli:Ürün veya hizmet.</w:t>
      </w:r>
    </w:p>
    <w:p>
      <w:pPr>
        <w:spacing w:after="140"/>
      </w:pPr>
      <w:r>
        <w:rPr>
          <w:sz w:val="24"/>
          <w:szCs w:val="24"/>
        </w:rPr>
        <w:t xml:space="preserve">Taşıma, gümrük ve işlem.</w:t>
      </w:r>
    </w:p>
    <w:p>
      <w:pPr>
        <w:spacing w:after="140"/>
      </w:pPr>
      <w:r>
        <w:rPr>
          <w:sz w:val="24"/>
          <w:szCs w:val="24"/>
        </w:rPr>
        <w:t xml:space="preserve">Ruhsat, harç ve damga.</w:t>
      </w:r>
    </w:p>
    <w:p>
      <w:pPr>
        <w:spacing w:after="140"/>
      </w:pPr>
      <w:r>
        <w:rPr>
          <w:sz w:val="24"/>
          <w:szCs w:val="24"/>
        </w:rPr>
        <w:t xml:space="preserve">Bordro, sigorta ve yönetim.</w:t>
      </w:r>
    </w:p>
    <w:p>
      <w:pPr>
        <w:spacing w:after="140"/>
      </w:pPr>
      <w:r>
        <w:rPr>
          <w:sz w:val="24"/>
          <w:szCs w:val="24"/>
        </w:rPr>
        <w:t xml:space="preserve">Beklenen kâr vergisi.</w:t>
      </w:r>
    </w:p>
    <w:p>
      <w:pPr>
        <w:spacing w:after="140"/>
      </w:pPr>
      <w:r>
        <w:rPr>
          <w:sz w:val="24"/>
          <w:szCs w:val="24"/>
        </w:rPr>
        <w:t xml:space="preserve">Gecikme ve yeniden değerlendirme payı.</w:t>
      </w:r>
    </w:p>
    <w:p>
      <w:pPr>
        <w:spacing w:after="140"/>
      </w:pPr>
      <w:r>
        <w:rPr>
          <w:sz w:val="24"/>
          <w:szCs w:val="24"/>
        </w:rPr>
        <w:t xml:space="preserve">Sözleşmede vergi maddeleri</w:t>
      </w:r>
    </w:p>
    <w:p>
      <w:pPr>
        <w:spacing w:after="140"/>
      </w:pPr>
      <w:r>
        <w:rPr>
          <w:sz w:val="24"/>
          <w:szCs w:val="24"/>
        </w:rPr>
        <w:t xml:space="preserve">Fiyatın vergileri içerip içermediğini, faturayı kimin düzenlediğini, damgayı kimin üstlendiğini ve kanun değişikliğinin nasıl yönetileceğini yazın. “Tüm vergiler diğer tarafa aittir” ifadesi yasal yükümlüyü her zaman değiştirmez.</w:t>
      </w:r>
    </w:p>
    <w:p>
      <w:pPr>
        <w:spacing w:after="140"/>
      </w:pPr>
      <w:r>
        <w:rPr>
          <w:sz w:val="24"/>
          <w:szCs w:val="24"/>
        </w:rPr>
        <w:t xml:space="preserve">Yabancı yatırımcı ve yerleşik olmayanlar</w:t>
      </w:r>
    </w:p>
    <w:p>
      <w:pPr>
        <w:spacing w:after="140"/>
      </w:pPr>
      <w:r>
        <w:rPr>
          <w:sz w:val="24"/>
          <w:szCs w:val="24"/>
        </w:rPr>
        <w:t xml:space="preserve">İşyeri oluşumu, gelirin kaynağı, kâr dağıtımı, yönetim/lisans bedelleri, transfer ve olası çifte vergilendirme anlaşmasını inceleyin. Yatırım fırsatlarını mali ve hukuki dosya almadan değerlendirmeyin; açık bir yapı ile fırsat yayımlayabilirsiniz.</w:t>
      </w:r>
    </w:p>
    <w:p>
      <w:pPr>
        <w:spacing w:after="140"/>
      </w:pPr>
      <w:r>
        <w:rPr>
          <w:sz w:val="24"/>
          <w:szCs w:val="24"/>
        </w:rPr>
        <w:t xml:space="preserve">Küçük işletmeler</w:t>
      </w:r>
    </w:p>
    <w:p>
      <w:pPr>
        <w:spacing w:after="140"/>
      </w:pPr>
      <w:r>
        <w:rPr>
          <w:sz w:val="24"/>
          <w:szCs w:val="24"/>
        </w:rPr>
        <w:t xml:space="preserve">Ayrı hesap, günlük kayıt, fatura dosyası, alacak listesi ve periyodik stok sayımı yeterli bir başlangıçtır. Ev ve iş giderini karıştırmayın. Rakamları aylık gözden geçirin; hızlı büyüme sınıf, fatura veya beyan yükümlülüğünü değiştirebilir.</w:t>
      </w:r>
    </w:p>
    <w:p>
      <w:pPr>
        <w:spacing w:after="140"/>
      </w:pPr>
      <w:r>
        <w:rPr>
          <w:sz w:val="24"/>
          <w:szCs w:val="24"/>
        </w:rPr>
        <w:t xml:space="preserve">Şirket satın almadan önce vergi incelemesi</w:t>
      </w:r>
    </w:p>
    <w:p>
      <w:pPr>
        <w:spacing w:after="140"/>
      </w:pPr>
      <w:r>
        <w:rPr>
          <w:sz w:val="24"/>
          <w:szCs w:val="24"/>
        </w:rPr>
        <w:t xml:space="preserve">Eski beyannameleri, tarhiyatları, makbuzları, itirazları, borcu yoktur belgelerini, bordroyu, ithalat kayıtlarını ve yazışmaları isteyin. Beyan edilen geliri hesap, banka ve stokla uzlaştırın. Önceki dönem borçları için garanti, tazmin ve gerekirse bedel tutma mekanizması kurun.</w:t>
      </w:r>
    </w:p>
    <w:p>
      <w:pPr>
        <w:spacing w:after="140"/>
      </w:pPr>
      <w:r>
        <w:rPr>
          <w:sz w:val="24"/>
          <w:szCs w:val="24"/>
        </w:rPr>
        <w:t xml:space="preserve">Yükümlülükleri şirket adına değil sektöre göre inceleyin</w:t>
      </w:r>
    </w:p>
    <w:p>
      <w:pPr>
        <w:spacing w:after="140"/>
      </w:pPr>
      <w:r>
        <w:rPr>
          <w:sz w:val="24"/>
          <w:szCs w:val="24"/>
        </w:rPr>
        <w:t xml:space="preserve">Aynı hukuki türde iki şirket, biri ithalat diğeri inşaat, turizm veya dijital hizmet yaptığı için farklı yükümlülüklere sahip olabilir. Sektör ruhsatlarını, gelirin ne zaman doğduğunu, stok yöntemini, uzun vadeli sözleşmeleri ve nakit işlemleri inceleyin. Üretici; hammadde, üretim, fire ve mamul stokunu uzlaştırmalıdır. Hizmet sağlayıcı ise işin tamamlandığını ve gelirin hak edildiği tarihi kanıtlamalıdır.</w:t>
      </w:r>
    </w:p>
    <w:p>
      <w:pPr>
        <w:spacing w:after="140"/>
      </w:pPr>
      <w:r>
        <w:rPr>
          <w:sz w:val="24"/>
          <w:szCs w:val="24"/>
        </w:rPr>
        <w:t xml:space="preserve">Şirketler ve İş Rehberinden sektördeki işletmeleri araştırabilirsiniz; ancak başka bir işletmenin vergi uygulamasını, büyüklük, ruhsat, yer ve sözleşme farklarını kontrol etmeden kopyalamayın.</w:t>
      </w:r>
    </w:p>
    <w:p>
      <w:pPr>
        <w:spacing w:after="140"/>
      </w:pPr>
      <w:r>
        <w:rPr>
          <w:sz w:val="24"/>
          <w:szCs w:val="24"/>
        </w:rPr>
        <w:t xml:space="preserve">Muhasebeci veya vergi danışmanı nasıl seçilir?</w:t>
      </w:r>
    </w:p>
    <w:p>
      <w:pPr>
        <w:spacing w:after="140"/>
      </w:pPr>
      <w:r>
        <w:rPr>
          <w:sz w:val="24"/>
          <w:szCs w:val="24"/>
        </w:rPr>
        <w:t xml:space="preserve">En düşük vergiyi vaat eden kişiyi değil, faaliyetinizi anlayan ve görüşünü yazılı sunan uzmanı seçin. Sektör tecrübesini, beyannamenin kim tarafından kontrol edileceğini, verilerin nasıl korunacağını ve inceleme ya da itiraz sırasında hangi desteğin verileceğini sorun. Hizmet kapsamını açıkça yazın: defter tutma, kontrol, beyan, bordro, danışmanlık veya temsil.</w:t>
      </w:r>
    </w:p>
    <w:p>
      <w:pPr>
        <w:spacing w:after="140"/>
      </w:pPr>
      <w:r>
        <w:rPr>
          <w:sz w:val="24"/>
          <w:szCs w:val="24"/>
        </w:rPr>
        <w:t xml:space="preserve">Her ay satış, gider, avans, yaklaşan süre ve açık riskleri gösteren kısa rapor isteyin. Yönetim, şirket adına sunulan rakamları anlamalıdır; sorumluluk yalnızca muhasebeciye devredilemez.</w:t>
      </w:r>
    </w:p>
    <w:p>
      <w:pPr>
        <w:spacing w:after="140"/>
      </w:pPr>
      <w:r>
        <w:rPr>
          <w:sz w:val="24"/>
          <w:szCs w:val="24"/>
        </w:rPr>
        <w:t xml:space="preserve">Kurumlar arasındaki veri tutarlılığını test edin</w:t>
      </w:r>
    </w:p>
    <w:p>
      <w:pPr>
        <w:spacing w:after="140"/>
      </w:pPr>
      <w:r>
        <w:rPr>
          <w:sz w:val="24"/>
          <w:szCs w:val="24"/>
        </w:rPr>
        <w:t xml:space="preserve">Dijital sistemler ticaret sicili, fatura, gümrük, banka ve çalışan bilgilerini karşılaştırabilir. Her kayıtta hukuki unvan, vergi numarası, adres ve faaliyet kodunu kontrol edin. Küçük bir isim farkı bile borcu yoktur belgesini veya vergi avansının mahsup edilmesini geciktirebilir.</w:t>
      </w:r>
    </w:p>
    <w:p>
      <w:pPr>
        <w:spacing w:after="140"/>
      </w:pPr>
      <w:r>
        <w:rPr>
          <w:sz w:val="24"/>
          <w:szCs w:val="24"/>
        </w:rPr>
        <w:t xml:space="preserve">Üç ayda bir toplam fatura, muhasebe geliri ve tahsilatı uzlaştırın; zaman farkı, iade, kapora ve iptalleri yazılı açıklayın. Aynı çalışmayı alışlar, stok, ithalat ve bordro için yapın. Amaç rakamları zorla eşitlemek değil, farkın belgeli nedenini göstermektir.</w:t>
      </w:r>
    </w:p>
    <w:p>
      <w:pPr>
        <w:spacing w:after="140"/>
      </w:pPr>
      <w:r>
        <w:rPr>
          <w:sz w:val="24"/>
          <w:szCs w:val="24"/>
        </w:rPr>
        <w:t xml:space="preserve">Vergi nakdini işletme parasından ayırın</w:t>
      </w:r>
    </w:p>
    <w:p>
      <w:pPr>
        <w:spacing w:after="140"/>
      </w:pPr>
      <w:r>
        <w:rPr>
          <w:sz w:val="24"/>
          <w:szCs w:val="24"/>
        </w:rPr>
        <w:t xml:space="preserve">Birçok küçük işletme yıl boyunca tahsil edilen paranın tamamını kullanılabilir kâr sayar. Oysa ücret kesintileri, yenileme harçları, ithalat avansı ve dönem sonunda ödenecek vergi için nakit ayrılması gerekir. Ayrı bir vergi rezerv hesabı veya iç takip tablosu oluşturmak, vade gününde borçlanma ihtiyacını azaltır.</w:t>
      </w:r>
    </w:p>
    <w:p>
      <w:pPr>
        <w:spacing w:after="140"/>
      </w:pPr>
      <w:r>
        <w:rPr>
          <w:sz w:val="24"/>
          <w:szCs w:val="24"/>
        </w:rPr>
        <w:t xml:space="preserve">Her ay gerçek tahsilat üzerinden bir rezerv güncelleyin. Tahakkuk eden fakat henüz tahsil edilmeyen satışlar ile peşin alınan siparişleri ayrı gösterin. Nakit planı, muhasebe kârından farklı bir görünüm sunmalıdır.</w:t>
      </w:r>
    </w:p>
    <w:p>
      <w:pPr>
        <w:spacing w:after="140"/>
      </w:pPr>
      <w:r>
        <w:rPr>
          <w:sz w:val="24"/>
          <w:szCs w:val="24"/>
        </w:rPr>
        <w:t xml:space="preserve">Uygulamalı maliyet ve vergi örneği</w:t>
      </w:r>
    </w:p>
    <w:p>
      <w:pPr>
        <w:spacing w:after="140"/>
      </w:pPr>
      <w:r>
        <w:rPr>
          <w:sz w:val="24"/>
          <w:szCs w:val="24"/>
        </w:rPr>
        <w:t xml:space="preserve">Makine ithal edip iç piyasada satan bir şirket, kârı yalnızca satış bedelinden alış fiyatını çıkararak bulamaz. Taşıma, gümrük, işlem, depolama, ruhsat ve avansın nakit etkisi eklenir; ardından işletme giderleri hesaplanır. Mahsup edilecek tutarlar nihai giderlerden ayrılır ve vergilendirilebilir kazanç kabul edilebilir belgelerle belirlenir.</w:t>
      </w:r>
    </w:p>
    <w:p>
      <w:pPr>
        <w:spacing w:after="140"/>
      </w:pPr>
      <w:r>
        <w:rPr>
          <w:sz w:val="24"/>
          <w:szCs w:val="24"/>
        </w:rPr>
        <w:t xml:space="preserve">Satış vadeli ise bazı ödemeler müşteriden para gelmeden önce doğabilir. İthalat tarihi, %2 avans, teslim, tahsilat ve beyan tarihini tek nakit akış tablosunda birleştirin. Muhasebe kârı, kasada aynı miktarda para olduğu anlamına gelmez.</w:t>
      </w:r>
    </w:p>
    <w:p>
      <w:pPr>
        <w:spacing w:after="140"/>
      </w:pPr>
      <w:r>
        <w:rPr>
          <w:sz w:val="24"/>
          <w:szCs w:val="24"/>
        </w:rPr>
        <w:t xml:space="preserve">Mevzuat değişikliğini nasıl yöneteceksiniz?</w:t>
      </w:r>
    </w:p>
    <w:p>
      <w:pPr>
        <w:spacing w:after="140"/>
      </w:pPr>
      <w:r>
        <w:rPr>
          <w:sz w:val="24"/>
          <w:szCs w:val="24"/>
        </w:rPr>
        <w:t xml:space="preserve">Her resmî değişiklik için karar numarası, yayımlanma tarihi, yürürlük tarihi, etkilenen işlem ve sorumlu çalışanı içeren kayıt oluşturun. Eski uygulamanın hangi tarihe kadar geçerli olduğunu ve geçiş hükümlerini ayrıca yazın. Böylece ekip, sosyal medyada dolaşan bir duyuruyu yanlış tarihte uygulamaz.</w:t>
      </w:r>
    </w:p>
    <w:p>
      <w:pPr>
        <w:spacing w:after="140"/>
      </w:pPr>
      <w:r>
        <w:rPr>
          <w:sz w:val="24"/>
          <w:szCs w:val="24"/>
        </w:rPr>
        <w:t xml:space="preserve">Fiyat listeleri, sözleşme şablonları, muhasebe kodları ve müşteri bilgilendirmesi gerekiyorsa değişiklik yürürlüğe girmeden hazırlayın. Yasal metni yalnızca muhasebe departmanına göndermek yeterli değildir; satış, satın alma ve lojistik de etkilenebilir.</w:t>
      </w:r>
    </w:p>
    <w:p>
      <w:pPr>
        <w:spacing w:after="140"/>
      </w:pPr>
      <w:r>
        <w:rPr>
          <w:sz w:val="24"/>
          <w:szCs w:val="24"/>
        </w:rPr>
        <w:t xml:space="preserve">30 günlük uyum planı</w:t>
      </w:r>
    </w:p>
    <w:p>
      <w:pPr>
        <w:spacing w:after="140"/>
      </w:pPr>
      <w:r>
        <w:rPr>
          <w:sz w:val="24"/>
          <w:szCs w:val="24"/>
        </w:rPr>
        <w:t xml:space="preserve">Birinci hafta: sicil, ruhsat, sözleşme ve eski beyannameleri toplayın; yükümlülük haritası çıkarın.</w:t>
      </w:r>
    </w:p>
    <w:p>
      <w:pPr>
        <w:spacing w:after="140"/>
      </w:pPr>
      <w:r>
        <w:rPr>
          <w:sz w:val="24"/>
          <w:szCs w:val="24"/>
        </w:rPr>
        <w:t xml:space="preserve">İkinci hafta: fatura, banka, stok, bordro ve gümrüğü uzlaştırın.</w:t>
      </w:r>
    </w:p>
    <w:p>
      <w:pPr>
        <w:spacing w:after="140"/>
      </w:pPr>
      <w:r>
        <w:rPr>
          <w:sz w:val="24"/>
          <w:szCs w:val="24"/>
        </w:rPr>
        <w:t xml:space="preserve">Üçüncü hafta: eksikleri tamamlayın, kayıt bilgilerini güncelleyin ve vergi takvimi kurun.</w:t>
      </w:r>
    </w:p>
    <w:p>
      <w:pPr>
        <w:spacing w:after="140"/>
      </w:pPr>
      <w:r>
        <w:rPr>
          <w:sz w:val="24"/>
          <w:szCs w:val="24"/>
        </w:rPr>
        <w:t xml:space="preserve">Dördüncü hafta: uzman incelemesi alın, riskleri sıralayın ve fatura/belge saklama politikasını onaylayın.</w:t>
      </w:r>
    </w:p>
    <w:p>
      <w:pPr>
        <w:spacing w:after="140"/>
      </w:pPr>
      <w:r>
        <w:rPr>
          <w:sz w:val="24"/>
          <w:szCs w:val="24"/>
        </w:rPr>
        <w:t xml:space="preserve">İlk aydan sonra basit aylık kapanış uygulayın. Bu çalışma, inceleme veya acil borcu yoktur belgesi sırasında bir yıllık kayıtları yeniden kurmaktan daha ucuzdur.</w:t>
      </w:r>
    </w:p>
    <w:p>
      <w:pPr>
        <w:spacing w:after="140"/>
      </w:pPr>
      <w:r>
        <w:rPr>
          <w:sz w:val="24"/>
          <w:szCs w:val="24"/>
        </w:rPr>
        <w:t xml:space="preserve">Yönetim için aylık vergi göstergeleri</w:t>
      </w:r>
    </w:p>
    <w:p>
      <w:pPr>
        <w:spacing w:after="140"/>
      </w:pPr>
      <w:r>
        <w:rPr>
          <w:sz w:val="24"/>
          <w:szCs w:val="24"/>
        </w:rPr>
        <w:t xml:space="preserve">Yönetim panosunda dönem cirosu, tahsilat, brüt kâr, tahmini vergilendirilebilir sonuç, ödenmiş avanslar, yaklaşan vadeler, açık incelemeler ve süresi dolacak belgeler bulunmalıdır. Rapor bir muhasebe dökümü değil, karar aracı olmalıdır.</w:t>
      </w:r>
    </w:p>
    <w:p>
      <w:pPr>
        <w:spacing w:after="140"/>
      </w:pPr>
      <w:r>
        <w:rPr>
          <w:sz w:val="24"/>
          <w:szCs w:val="24"/>
        </w:rPr>
        <w:t xml:space="preserve">Satış artarken nakit düşüyorsa bunun vergi avansı, stok büyümesi, vade veya tahsilat gecikmesinden kaynaklanıp kaynaklanmadığını inceleyin. Erken uyarı, ceza veya ödeme krizinden önce çözüm üretir.</w:t>
      </w:r>
    </w:p>
    <w:p>
      <w:pPr>
        <w:spacing w:after="140"/>
      </w:pPr>
      <w:r>
        <w:rPr>
          <w:sz w:val="24"/>
          <w:szCs w:val="24"/>
        </w:rPr>
        <w:t xml:space="preserve">Yaygın hatalar</w:t>
      </w:r>
    </w:p>
    <w:p>
      <w:pPr>
        <w:spacing w:after="140"/>
      </w:pPr>
      <w:r>
        <w:rPr>
          <w:sz w:val="24"/>
          <w:szCs w:val="24"/>
        </w:rPr>
        <w:t xml:space="preserve">Tarih ve kategori kontrol etmeden oran kullanmak.</w:t>
      </w:r>
    </w:p>
    <w:p>
      <w:pPr>
        <w:spacing w:after="140"/>
      </w:pPr>
      <w:r>
        <w:rPr>
          <w:sz w:val="24"/>
          <w:szCs w:val="24"/>
        </w:rPr>
        <w:t xml:space="preserve">Vergi avansını mahsup etmemek.</w:t>
      </w:r>
    </w:p>
    <w:p>
      <w:pPr>
        <w:spacing w:after="140"/>
      </w:pPr>
      <w:r>
        <w:rPr>
          <w:sz w:val="24"/>
          <w:szCs w:val="24"/>
        </w:rPr>
        <w:t xml:space="preserve">Damga ve vergiyi sözleşmede belirlememek.</w:t>
      </w:r>
    </w:p>
    <w:p>
      <w:pPr>
        <w:spacing w:after="140"/>
      </w:pPr>
      <w:r>
        <w:rPr>
          <w:sz w:val="24"/>
          <w:szCs w:val="24"/>
        </w:rPr>
        <w:t xml:space="preserve">Borcu yoktur belgesini son gün istemek.</w:t>
      </w:r>
    </w:p>
    <w:p>
      <w:pPr>
        <w:spacing w:after="140"/>
      </w:pPr>
      <w:r>
        <w:rPr>
          <w:sz w:val="24"/>
          <w:szCs w:val="24"/>
        </w:rPr>
        <w:t xml:space="preserve">Ödeme ve teslim kanıtı olmadan fatura saklamak.</w:t>
      </w:r>
    </w:p>
    <w:p>
      <w:pPr>
        <w:spacing w:after="140"/>
      </w:pPr>
      <w:r>
        <w:rPr>
          <w:sz w:val="24"/>
          <w:szCs w:val="24"/>
        </w:rPr>
        <w:t xml:space="preserve">Bordro vergisiyle sosyal sigortayı karıştırmak.</w:t>
      </w:r>
    </w:p>
    <w:p>
      <w:pPr>
        <w:spacing w:after="140"/>
      </w:pPr>
      <w:r>
        <w:rPr>
          <w:sz w:val="24"/>
          <w:szCs w:val="24"/>
        </w:rPr>
        <w:t xml:space="preserve">Faaliyet veya adresi güncellememek.</w:t>
      </w:r>
    </w:p>
    <w:p>
      <w:pPr>
        <w:spacing w:after="140"/>
      </w:pPr>
      <w:r>
        <w:rPr>
          <w:sz w:val="24"/>
          <w:szCs w:val="24"/>
        </w:rPr>
        <w:t xml:space="preserve">Pratik kontrol listesi</w:t>
      </w:r>
    </w:p>
    <w:p>
      <w:pPr>
        <w:spacing w:after="140"/>
      </w:pPr>
      <w:r>
        <w:rPr>
          <w:sz w:val="24"/>
          <w:szCs w:val="24"/>
        </w:rPr>
        <w:t xml:space="preserve">Vergi/harcın adını ve hukuki metnini bulun.</w:t>
      </w:r>
    </w:p>
    <w:p>
      <w:pPr>
        <w:spacing w:after="140"/>
      </w:pPr>
      <w:r>
        <w:rPr>
          <w:sz w:val="24"/>
          <w:szCs w:val="24"/>
        </w:rPr>
        <w:t xml:space="preserve">İşlem tarihinde yürürlükte olduğunu doğrulayın.</w:t>
      </w:r>
    </w:p>
    <w:p>
      <w:pPr>
        <w:spacing w:after="140"/>
      </w:pPr>
      <w:r>
        <w:rPr>
          <w:sz w:val="24"/>
          <w:szCs w:val="24"/>
        </w:rPr>
        <w:t xml:space="preserve">Yükümlü ve matrahı belirleyin.</w:t>
      </w:r>
    </w:p>
    <w:p>
      <w:pPr>
        <w:spacing w:after="140"/>
      </w:pPr>
      <w:r>
        <w:rPr>
          <w:sz w:val="24"/>
          <w:szCs w:val="24"/>
        </w:rPr>
        <w:t xml:space="preserve">İstisna şartlarını okuyun.</w:t>
      </w:r>
    </w:p>
    <w:p>
      <w:pPr>
        <w:spacing w:after="140"/>
      </w:pPr>
      <w:r>
        <w:rPr>
          <w:sz w:val="24"/>
          <w:szCs w:val="24"/>
        </w:rPr>
        <w:t xml:space="preserve">Vergi numarası, sicil, adres ve faaliyeti eşleştirin.</w:t>
      </w:r>
    </w:p>
    <w:p>
      <w:pPr>
        <w:spacing w:after="140"/>
      </w:pPr>
      <w:r>
        <w:rPr>
          <w:sz w:val="24"/>
          <w:szCs w:val="24"/>
        </w:rPr>
        <w:t xml:space="preserve">Fatura, banka, stok ve bordroyu kapatın.</w:t>
      </w:r>
    </w:p>
    <w:p>
      <w:pPr>
        <w:spacing w:after="140"/>
      </w:pPr>
      <w:r>
        <w:rPr>
          <w:sz w:val="24"/>
          <w:szCs w:val="24"/>
        </w:rPr>
        <w:t xml:space="preserve">Avans ve stopajları uzlaştırın.</w:t>
      </w:r>
    </w:p>
    <w:p>
      <w:pPr>
        <w:spacing w:after="140"/>
      </w:pPr>
      <w:r>
        <w:rPr>
          <w:sz w:val="24"/>
          <w:szCs w:val="24"/>
        </w:rPr>
        <w:t xml:space="preserve">Süre ve ödeme yöntemini teyit edin.</w:t>
      </w:r>
    </w:p>
    <w:p>
      <w:pPr>
        <w:spacing w:after="140"/>
      </w:pPr>
      <w:r>
        <w:rPr>
          <w:sz w:val="24"/>
          <w:szCs w:val="24"/>
        </w:rPr>
        <w:t xml:space="preserve">Beyan ve makbuzu saklayın.</w:t>
      </w:r>
    </w:p>
    <w:p>
      <w:pPr>
        <w:spacing w:after="140"/>
      </w:pPr>
      <w:r>
        <w:rPr>
          <w:sz w:val="24"/>
          <w:szCs w:val="24"/>
        </w:rPr>
        <w:t xml:space="preserve">Takip ve itiraz tarihini kaydedin.</w:t>
      </w:r>
    </w:p>
    <w:p>
      <w:pPr>
        <w:spacing w:after="140"/>
      </w:pPr>
      <w:r>
        <w:rPr>
          <w:sz w:val="24"/>
          <w:szCs w:val="24"/>
        </w:rPr>
        <w:t xml:space="preserve">Resmî kaynak kontrolü</w:t>
      </w:r>
    </w:p>
    <w:p>
      <w:pPr>
        <w:spacing w:after="140"/>
      </w:pPr>
      <w:r>
        <w:rPr>
          <w:sz w:val="24"/>
          <w:szCs w:val="24"/>
        </w:rPr>
        <w:t xml:space="preserve">Vergi ve Harçlar Genel Komisyonunu, mükellef hizmetlerini ve Maliye Bakanlığı duyurularını kullanın. 2026 için reform ve dijitalleşme duyurusu, e-fatura güncellemesi ve ithalatçı avansı kararı önemlidir.</w:t>
      </w:r>
    </w:p>
    <w:p>
      <w:pPr>
        <w:spacing w:after="140"/>
      </w:pPr>
      <w:r>
        <w:rPr>
          <w:sz w:val="24"/>
          <w:szCs w:val="24"/>
        </w:rPr>
        <w:t xml:space="preserve">Bsouria nasıl yardımcı olur?</w:t>
      </w:r>
    </w:p>
    <w:p>
      <w:pPr>
        <w:spacing w:after="140"/>
      </w:pPr>
      <w:r>
        <w:rPr>
          <w:sz w:val="24"/>
          <w:szCs w:val="24"/>
        </w:rPr>
        <w:t xml:space="preserve">İş Rehberinde hizmet sağlayıcıları karşılaştırın, iş fırsatlarını izleyin ve güncel makaleleri okuyun. Bsouria Hakkında sayfası yaklaşımı açıklar; yeni resmî kaynak veya düzeltme için iletişim sayfasını kullanabilirsiniz.</w:t>
      </w:r>
    </w:p>
    <w:p>
      <w:pPr>
        <w:spacing w:after="140"/>
      </w:pPr>
      <w:r>
        <w:rPr>
          <w:sz w:val="24"/>
          <w:szCs w:val="24"/>
        </w:rPr>
        <w:t xml:space="preserve">En iyi uygulamalar</w:t>
      </w:r>
    </w:p>
    <w:p>
      <w:pPr>
        <w:spacing w:after="140"/>
      </w:pPr>
      <w:r>
        <w:rPr>
          <w:sz w:val="24"/>
          <w:szCs w:val="24"/>
        </w:rPr>
        <w:t xml:space="preserve">Yazılı fatura ve belge saklama politikası kullanın.</w:t>
      </w:r>
    </w:p>
    <w:p>
      <w:pPr>
        <w:spacing w:after="140"/>
      </w:pPr>
      <w:r>
        <w:rPr>
          <w:sz w:val="24"/>
          <w:szCs w:val="24"/>
        </w:rPr>
        <w:t xml:space="preserve">Mümkünse kayıt ile ödeme onayını ayırın.</w:t>
      </w:r>
    </w:p>
    <w:p>
      <w:pPr>
        <w:spacing w:after="140"/>
      </w:pPr>
      <w:r>
        <w:rPr>
          <w:sz w:val="24"/>
          <w:szCs w:val="24"/>
        </w:rPr>
        <w:t xml:space="preserve">Banka, stok, gümrük ve muhasebeyi aylık uzlaştırın.</w:t>
      </w:r>
    </w:p>
    <w:p>
      <w:pPr>
        <w:spacing w:after="140"/>
      </w:pPr>
      <w:r>
        <w:rPr>
          <w:sz w:val="24"/>
          <w:szCs w:val="24"/>
        </w:rPr>
        <w:t xml:space="preserve">Sözleşmeyi vergi ve damga açısından inceleyin.</w:t>
      </w:r>
    </w:p>
    <w:p>
      <w:pPr>
        <w:spacing w:after="140"/>
      </w:pPr>
      <w:r>
        <w:rPr>
          <w:sz w:val="24"/>
          <w:szCs w:val="24"/>
        </w:rPr>
        <w:t xml:space="preserve">Önemli işlemlerde yazılı görüş alın.</w:t>
      </w:r>
    </w:p>
    <w:p>
      <w:pPr>
        <w:spacing w:after="140"/>
      </w:pPr>
      <w:r>
        <w:rPr>
          <w:sz w:val="24"/>
          <w:szCs w:val="24"/>
        </w:rPr>
        <w:t xml:space="preserve">“2026 değişiklikleri” dosyası tutun.</w:t>
      </w:r>
    </w:p>
    <w:p>
      <w:pPr>
        <w:spacing w:after="140"/>
      </w:pPr>
      <w:r>
        <w:rPr>
          <w:sz w:val="24"/>
          <w:szCs w:val="24"/>
        </w:rPr>
        <w:t xml:space="preserve">Özet</w:t>
      </w:r>
    </w:p>
    <w:p>
      <w:pPr>
        <w:spacing w:after="140"/>
      </w:pPr>
      <w:r>
        <w:rPr>
          <w:sz w:val="24"/>
          <w:szCs w:val="24"/>
        </w:rPr>
        <w:t xml:space="preserve">İyi vergi yönetimi her ne pahasına olursa olsun en düşük rakamı bulmak değil, doğru ve kanıtlanabilir tutarı zamanında ödemektir. 2026 reform döneminde oran ezberlemekten çok güncel metni izlemek ve belge düzeni kurmak önemlidir.</w:t>
      </w:r>
    </w:p>
    <w:p>
      <w:pPr>
        <w:spacing w:after="140"/>
      </w:pPr>
      <w:r>
        <w:rPr>
          <w:sz w:val="24"/>
          <w:szCs w:val="24"/>
        </w:rPr>
        <w:t xml:space="preserve">Kaynaklar</w:t>
      </w:r>
    </w:p>
    <w:p>
      <w:pPr>
        <w:spacing w:after="140"/>
      </w:pPr>
      <w:r>
        <w:rPr>
          <w:sz w:val="24"/>
          <w:szCs w:val="24"/>
        </w:rPr>
        <w:t xml:space="preserve">Vergi ve Harçlar Genel Komisyonu.</w:t>
      </w:r>
    </w:p>
    <w:p>
      <w:pPr>
        <w:spacing w:after="140"/>
      </w:pPr>
      <w:r>
        <w:rPr>
          <w:sz w:val="24"/>
          <w:szCs w:val="24"/>
        </w:rPr>
        <w:t xml:space="preserve">19 Mart 2026 vergi reformu ve dijitalleşme.</w:t>
      </w:r>
    </w:p>
    <w:p>
      <w:pPr>
        <w:spacing w:after="140"/>
      </w:pPr>
      <w:r>
        <w:rPr>
          <w:sz w:val="24"/>
          <w:szCs w:val="24"/>
        </w:rPr>
        <w:t xml:space="preserve">9 Nisan 2026 e-fatura ve strateji.</w:t>
      </w:r>
    </w:p>
    <w:p>
      <w:pPr>
        <w:spacing w:after="140"/>
      </w:pPr>
      <w:r>
        <w:rPr>
          <w:sz w:val="24"/>
          <w:szCs w:val="24"/>
        </w:rPr>
        <w:t xml:space="preserve">24 Mart 2026 %2 ithalatçı avansı ve borcu yoktur belgesi.</w:t>
      </w:r>
    </w:p>
    <w:p>
      <w:pPr>
        <w:spacing w:after="140"/>
      </w:pPr>
      <w:r>
        <w:rPr>
          <w:sz w:val="24"/>
          <w:szCs w:val="24"/>
        </w:rPr>
        <w:t xml:space="preserve">12 Haziran 2026 IMF teknik işbirliği.</w:t>
      </w:r>
    </w:p>
    <w:p>
      <w:pPr>
        <w:spacing w:after="140"/>
      </w:pPr>
      <w:r>
        <w:rPr>
          <w:sz w:val="24"/>
          <w:szCs w:val="24"/>
        </w:rPr>
        <w:t xml:space="preserve">15/2021 Gayrimenkul Satış Vergisi Kanunu.</w:t>
      </w:r>
    </w:p>
    <w:p>
      <w:pPr>
        <w:spacing w:after="140"/>
      </w:pPr>
      <w:r>
        <w:rPr>
          <w:sz w:val="24"/>
          <w:szCs w:val="24"/>
        </w:rPr>
        <w:t xml:space="preserve">IMF Gelir Portalı.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Vergi ve Harç Rehberi: İşletmeler ve Bireyler İçin Uygulama</dc:title>
  <dc:creator>Bsouria Editorial Team</dc:creator>
  <cp:lastModifiedBy>Bsouria</cp:lastModifiedBy>
  <dcterms:created xsi:type="dcterms:W3CDTF">2026-09-15T14:27:02Z</dcterms:created>
</cp:coreProperties>
</file>