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2026 Suriye Küçük İşletmeleri İçin Ödeme ve Tahsilat Sistemi</w:t>
      </w:r>
    </w:p>
    <w:p>
      <w:pPr/>
      <w:r>
        <w:rPr>
          <w:i/>
          <w:color w:val="64736B"/>
        </w:rPr>
        <w:t>Ander · 2026-07-29</w:t>
      </w:r>
    </w:p>
    <w:p>
      <w:pPr>
        <w:spacing w:after="220"/>
      </w:pPr>
      <w:r>
        <w:rPr>
          <w:i/>
        </w:rPr>
        <w:t>Fatura, tahsilat, kredi, mutabakat ve nakit koruma rehberi.</w:t>
      </w:r>
    </w:p>
    <w:p>
      <w:pPr>
        <w:spacing w:after="140"/>
      </w:pPr>
      <w:r>
        <w:rPr>
          <w:sz w:val="24"/>
          <w:szCs w:val="24"/>
        </w:rPr>
        <w:t xml:space="preserve">Bu makale, Suriye’de çalışan işletmeler için insan diliyle hazırlanmış ayrıntılı bir uygulama rehberidir. Amaç yalnızca kavramları açıklamak değil; her kuralı bir sorumluya, belgeye, tarihe ve ölçülebilir sonuca bağlamaktır. İşletme küçük olsa bile satış, vergi, ödeme veya dış ticaret kararı hafızaya bırakıldığında hata büyür. Bu nedenle aşağıdaki bölümler sade formlar, düzenli kontrol ve gerçek iş akışına uyarlanabilir adımlar sunar.</w:t>
      </w:r>
    </w:p>
    <w:p>
      <w:pPr>
        <w:spacing w:after="140"/>
      </w:pPr>
      <w:r>
        <w:rPr>
          <w:sz w:val="24"/>
          <w:szCs w:val="24"/>
        </w:rPr>
        <w:t xml:space="preserve">Önemli not: Banka, vergi, gümrük, yaptırım ve lisans kuralları değişebilir. Her önemli işlemde güncel resmî kaynak ve yetkili uzman teyidi alın.</w:t>
      </w:r>
    </w:p>
    <w:p>
      <w:pPr>
        <w:spacing w:after="140"/>
      </w:pPr>
      <w:r>
        <w:rPr>
          <w:sz w:val="24"/>
          <w:szCs w:val="24"/>
        </w:rPr>
        <w:t xml:space="preserve">Tek sayfalık ödeme politikası</w:t>
      </w:r>
    </w:p>
    <w:p>
      <w:pPr>
        <w:spacing w:after="140"/>
      </w:pPr>
      <w:r>
        <w:rPr>
          <w:sz w:val="24"/>
          <w:szCs w:val="24"/>
        </w:rPr>
        <w:t xml:space="preserve">Bu bölümün ana konusu Ödeme kanallarını, avansı, vadeyi ve teslim şartını yazın..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Kanalları ve kredi limitini yazılı hale getirin.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Operasyon belgesi olarak fatura</w:t>
      </w:r>
    </w:p>
    <w:p>
      <w:pPr>
        <w:spacing w:after="140"/>
      </w:pPr>
      <w:r>
        <w:rPr>
          <w:sz w:val="24"/>
          <w:szCs w:val="24"/>
        </w:rPr>
        <w:t xml:space="preserve">Bu bölümün ana konusu Faturayı sipariş ve teslimle bağlayın..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İptalleri silmeyin, nedenini kaydedin.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Ödeme kanalını seçmek</w:t>
      </w:r>
    </w:p>
    <w:p>
      <w:pPr>
        <w:spacing w:after="140"/>
      </w:pPr>
      <w:r>
        <w:rPr>
          <w:sz w:val="24"/>
          <w:szCs w:val="24"/>
        </w:rPr>
        <w:t xml:space="preserve">Bu bölümün ana konusu Kanalı maliyet, hız ve kanıtla seçin..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Yedek kanal belirleyin.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Ödeme kesinleşmesini doğrulamak</w:t>
      </w:r>
    </w:p>
    <w:p>
      <w:pPr>
        <w:spacing w:after="140"/>
      </w:pPr>
      <w:r>
        <w:rPr>
          <w:sz w:val="24"/>
          <w:szCs w:val="24"/>
        </w:rPr>
        <w:t xml:space="preserve">Bu bölümün ana konusu Ekran görüntüsüne tek başına güvenmeyin..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Sağlayıcı panelinden kesinleşmeyi kontrol edin.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Günlük mutabakat</w:t>
      </w:r>
    </w:p>
    <w:p>
      <w:pPr>
        <w:spacing w:after="140"/>
      </w:pPr>
      <w:r>
        <w:rPr>
          <w:sz w:val="24"/>
          <w:szCs w:val="24"/>
        </w:rPr>
        <w:t xml:space="preserve">Bu bölümün ana konusu Her ödemeyi faturaya bağlayın..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Farklara sorumlu ve tarih verin.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Vadeli satış ve limit</w:t>
      </w:r>
    </w:p>
    <w:p>
      <w:pPr>
        <w:spacing w:after="140"/>
      </w:pPr>
      <w:r>
        <w:rPr>
          <w:sz w:val="24"/>
          <w:szCs w:val="24"/>
        </w:rPr>
        <w:t xml:space="preserve">Bu bölümün ana konusu Kredi limiti ve vade belirleyin..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Satış hedefiyle kredi onayını ayırın.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Tahsilat ritmi</w:t>
      </w:r>
    </w:p>
    <w:p>
      <w:pPr>
        <w:spacing w:after="140"/>
      </w:pPr>
      <w:r>
        <w:rPr>
          <w:sz w:val="24"/>
          <w:szCs w:val="24"/>
        </w:rPr>
        <w:t xml:space="preserve">Bu bölümün ana konusu Faturayı hemen gönderin ve net hatırlatın..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İtiraz edilmeyen kısmı tahsil edin.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14 haftalık nakit görünümü</w:t>
      </w:r>
    </w:p>
    <w:p>
      <w:pPr>
        <w:spacing w:after="140"/>
      </w:pPr>
      <w:r>
        <w:rPr>
          <w:sz w:val="24"/>
          <w:szCs w:val="24"/>
        </w:rPr>
        <w:t xml:space="preserve">Bu bölümün ana konusu Tahsilatı kesin, olası ve belirsiz ayırın..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Açığı erken görün.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Tedarikçi ödeme kontrolleri</w:t>
      </w:r>
    </w:p>
    <w:p>
      <w:pPr>
        <w:spacing w:after="140"/>
      </w:pPr>
      <w:r>
        <w:rPr>
          <w:sz w:val="24"/>
          <w:szCs w:val="24"/>
        </w:rPr>
        <w:t xml:space="preserve">Bu bölümün ana konusu Hesap değişikliğini ikinci kanaldan doğrulayın..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Büyük ödemeyi iki kişi kontrol etsin.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Dolandırıcılığı önlemek</w:t>
      </w:r>
    </w:p>
    <w:p>
      <w:pPr>
        <w:spacing w:after="140"/>
      </w:pPr>
      <w:r>
        <w:rPr>
          <w:sz w:val="24"/>
          <w:szCs w:val="24"/>
        </w:rPr>
        <w:t xml:space="preserve">Bu bölümün ana konusu Finansal değişiklikte durun ve doğrulayın..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Olayı hemen bildirin.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Sınır ötesi ödeme uyumu</w:t>
      </w:r>
    </w:p>
    <w:p>
      <w:pPr>
        <w:spacing w:after="140"/>
      </w:pPr>
      <w:r>
        <w:rPr>
          <w:sz w:val="24"/>
          <w:szCs w:val="24"/>
        </w:rPr>
        <w:t xml:space="preserve">Bu bölümün ana konusu Amaç ve fon kaynağını belgeleyin..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Şeffaf rota kullanın.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Göstergeler ve aylık inceleme</w:t>
      </w:r>
    </w:p>
    <w:p>
      <w:pPr>
        <w:spacing w:after="140"/>
      </w:pPr>
      <w:r>
        <w:rPr>
          <w:sz w:val="24"/>
          <w:szCs w:val="24"/>
        </w:rPr>
        <w:t xml:space="preserve">Bu bölümün ana konusu Tahsilat günü ve gecikmeyi ölçün..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Kırmızı göstergeye eylem verin.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Kesinti ve iş sürekliliği planı</w:t>
      </w:r>
    </w:p>
    <w:p>
      <w:pPr>
        <w:spacing w:after="140"/>
      </w:pPr>
      <w:r>
        <w:rPr>
          <w:sz w:val="24"/>
          <w:szCs w:val="24"/>
        </w:rPr>
        <w:t xml:space="preserve">Bu bölümün ana konusu continuity when internet, bank or POS fails.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Uygulanabilir bir form ve sorumlu belirleyin.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Şubeler ve erişim yetkileri</w:t>
      </w:r>
    </w:p>
    <w:p>
      <w:pPr>
        <w:spacing w:after="140"/>
      </w:pPr>
      <w:r>
        <w:rPr>
          <w:sz w:val="24"/>
          <w:szCs w:val="24"/>
        </w:rPr>
        <w:t xml:space="preserve">Bu bölümün ana konusu consistent branch rules, permissions and approvals.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Uygulanabilir bir form ve sorumlu belirleyin.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Ödeme ana verisi kalitesi</w:t>
      </w:r>
    </w:p>
    <w:p>
      <w:pPr>
        <w:spacing w:after="140"/>
      </w:pPr>
      <w:r>
        <w:rPr>
          <w:sz w:val="24"/>
          <w:szCs w:val="24"/>
        </w:rPr>
        <w:t xml:space="preserve">Bu bölümün ana konusu cleaning customer names, accounts, channels and references.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Uygulanabilir bir form ve sorumlu belirleyin.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Kontrol testi</w:t>
      </w:r>
    </w:p>
    <w:p>
      <w:pPr>
        <w:spacing w:after="140"/>
      </w:pPr>
      <w:r>
        <w:rPr>
          <w:sz w:val="24"/>
          <w:szCs w:val="24"/>
        </w:rPr>
        <w:t xml:space="preserve">Bu bölümün ana konusu monthly testing of invoices, payments and refunds.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Uygulanabilir bir form ve sorumlu belirleyin.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Sık sorulan sorular</w:t>
      </w:r>
    </w:p>
    <w:p>
      <w:pPr>
        <w:spacing w:after="140"/>
      </w:pPr>
      <w:r>
        <w:rPr>
          <w:sz w:val="24"/>
          <w:szCs w:val="24"/>
        </w:rPr>
        <w:t xml:space="preserve">Pahalı bir yazılım gerekli mi? Hayır. Önce açık kurallar, numaralandırma, sorumluluk ve düzenli mutabakat gerekir. Yazılım ancak iyi süreci hızlandırır.</w:t>
      </w:r>
    </w:p>
    <w:p>
      <w:pPr>
        <w:spacing w:after="140"/>
      </w:pPr>
      <w:r>
        <w:rPr>
          <w:sz w:val="24"/>
          <w:szCs w:val="24"/>
        </w:rPr>
        <w:t xml:space="preserve">Çok küçük işletme de uygulayabilir mi? Evet. Formları kısaltın fakat kanıt, tarih, sorumlu ve kontrol ilkelerini kaldırmayın.</w:t>
      </w:r>
    </w:p>
    <w:p>
      <w:pPr>
        <w:spacing w:after="140"/>
      </w:pPr>
      <w:r>
        <w:rPr>
          <w:sz w:val="24"/>
          <w:szCs w:val="24"/>
        </w:rPr>
        <w:t xml:space="preserve">Ne zaman uzman gerekir? Büyük tutar, karmaşık sözleşme, vergi incelemesi, gümrük sınıflandırması, yaptırım veya sınır ötesi ödeme olduğunda uzman görüşü önemlidir.</w:t>
      </w:r>
    </w:p>
    <w:p>
      <w:pPr>
        <w:spacing w:after="140"/>
      </w:pPr>
      <w:r>
        <w:rPr>
          <w:sz w:val="24"/>
          <w:szCs w:val="24"/>
        </w:rPr>
        <w:t xml:space="preserve">İyileşmeyi nasıl ölçerim? İşlem süresi, gecikme, eşleşmeyen kayıt, hata, iade, nakit açığı veya maliyet sapmasını önce ve sonra karşılaştırın.</w:t>
      </w:r>
    </w:p>
    <w:p>
      <w:pPr>
        <w:spacing w:after="140"/>
      </w:pPr>
      <w:r>
        <w:rPr>
          <w:sz w:val="24"/>
          <w:szCs w:val="24"/>
        </w:rPr>
        <w:t xml:space="preserve">Resmî kaynaklar ve bağlantılar</w:t>
      </w:r>
    </w:p>
    <w:p>
      <w:pPr>
        <w:spacing w:after="140"/>
      </w:pPr>
      <w:r>
        <w:rPr>
          <w:sz w:val="24"/>
          <w:szCs w:val="24"/>
        </w:rPr>
        <w:t xml:space="preserve">World Bank – Syria</w:t>
      </w:r>
    </w:p>
    <w:p>
      <w:pPr>
        <w:spacing w:after="140"/>
      </w:pPr>
      <w:r>
        <w:rPr>
          <w:sz w:val="24"/>
          <w:szCs w:val="24"/>
        </w:rPr>
        <w:t xml:space="preserve">FATF risk-based approach</w:t>
      </w:r>
    </w:p>
    <w:p>
      <w:pPr>
        <w:spacing w:after="140"/>
      </w:pPr>
      <w:r>
        <w:rPr>
          <w:sz w:val="24"/>
          <w:szCs w:val="24"/>
        </w:rPr>
        <w:t xml:space="preserve">UK Syria business guidance</w:t>
      </w:r>
    </w:p>
    <w:p>
      <w:pPr>
        <w:spacing w:after="140"/>
      </w:pPr>
      <w:r>
        <w:rPr>
          <w:sz w:val="24"/>
          <w:szCs w:val="24"/>
        </w:rPr>
        <w:t xml:space="preserve">World Bank public financial management grant</w:t>
      </w:r>
    </w:p>
    <w:p>
      <w:pPr>
        <w:spacing w:after="140"/>
      </w:pPr>
      <w:r>
        <w:rPr>
          <w:sz w:val="24"/>
          <w:szCs w:val="24"/>
        </w:rPr>
        <w:t xml:space="preserve">Sonuç</w:t>
      </w:r>
    </w:p>
    <w:p>
      <w:pPr>
        <w:spacing w:after="140"/>
      </w:pPr>
      <w:r>
        <w:rPr>
          <w:sz w:val="24"/>
          <w:szCs w:val="24"/>
        </w:rPr>
        <w:t xml:space="preserve">Güçlü sistem kusursuz olmak zorunda değildir. Görünür, açıklanabilir ve düzenli olarak geliştirilebilir olması yeterlidir. Karar, belge, sorumluluk ve ölçüm bir araya geldiğinde büyüme daha az kaotik ve daha sürdürülebilir olur.</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2026 Suriye Küçük İşletmeleri İçin Ödeme ve Tahsilat Sistemi</dc:title>
  <dc:creator>Ander</dc:creator>
  <cp:lastModifiedBy>Bsouria</cp:lastModifiedBy>
  <dcterms:created xsi:type="dcterms:W3CDTF">2026-07-31T02:22:08Z</dcterms:created>
</cp:coreProperties>
</file>