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2026’da Suriye Ekonomisi: Büyüme, Enflasyon, Kur, Yatırım ve Yeniden İnşa Nasıl Okunmalı?</w:t>
      </w:r>
    </w:p>
    <w:p>
      <w:pPr/>
      <w:r>
        <w:rPr>
          <w:i/>
          <w:color w:val="64736B"/>
        </w:rPr>
        <w:t>Besouria Editorial · 2026-07-26</w:t>
      </w:r>
    </w:p>
    <w:p>
      <w:pPr>
        <w:spacing w:after="220"/>
      </w:pPr>
      <w:r>
        <w:rPr>
          <w:i/>
        </w:rPr>
        <w:t>Suriye ekonomisini manşetlerin ötesinde okumak için pratik analiz: üretim, fiyatlar, kur, kamu maliyesi, bankacılık, sektörler, istihdam, yatırım ve toparlanma senaryoları.</w:t>
      </w:r>
    </w:p>
    <w:p>
      <w:pPr>
        <w:spacing w:after="140"/>
      </w:pPr>
      <w:r>
        <w:rPr>
          <w:sz w:val="24"/>
          <w:szCs w:val="24"/>
        </w:rPr>
        <w:t xml:space="preserve">2026’da Suriye ekonomisini “toparlanma başladı” ya da “kriz devam ediyor” gibi tek bir cümleyle anlatmak mümkün değildir. İki ifade aynı anda doğru olabilir: bazı sektör ve bölgelerde faaliyet canlanırken satın alma gücü, kamu hizmetleri, finansman ve istihdam hâlâ ihtiyaçların çok gerisindedir. Bu rehber, aşırı iyimserlik ya da felaket dili kullanmadan verileri, kararları ve fırsatları okumak için pratik bir çerçeve sunar.</w:t>
      </w:r>
    </w:p>
    <w:p>
      <w:pPr>
        <w:spacing w:after="140"/>
      </w:pPr>
      <w:r>
        <w:rPr>
          <w:sz w:val="24"/>
          <w:szCs w:val="24"/>
        </w:rPr>
        <w:t xml:space="preserve">Yöntem notu: Suriye’ye ilişkin ekonomik veriler sınırlı, gecikmeli ve kalite açısından değişkendir. Bu nedenle kaynak tarihlerini belirtiyor, tahminler farklıysa aralık kullanıyor ve hiçbir öngörüyü garanti olarak sunmuyoruz.</w:t>
      </w:r>
    </w:p>
    <w:p>
      <w:pPr>
        <w:spacing w:after="140"/>
      </w:pPr>
      <w:r>
        <w:rPr>
          <w:sz w:val="24"/>
          <w:szCs w:val="24"/>
        </w:rPr>
        <w:t xml:space="preserve">1. Başlangıç noktası: 2011 öncesine göre çok daha küçük bir ekonomi</w:t>
      </w:r>
    </w:p>
    <w:p>
      <w:pPr>
        <w:spacing w:after="140"/>
      </w:pPr>
      <w:r>
        <w:rPr>
          <w:sz w:val="24"/>
          <w:szCs w:val="24"/>
        </w:rPr>
        <w:t xml:space="preserve">Dünya Bankası’nın 2025 Makro-Mali Değerlendirmesi, GSYH’nin 2010’a göre kümülatif olarak yarıdan fazla küçüldüğünü ve kişi başına gayrisafi millî gelirin 2024’te yaklaşık 830 ABD doları olduğunu belirtti. Aşırı yoksulluk yaklaşık her dört Suriyeliden birini etkilerken nüfusun üçte ikisi alt-orta gelir yoksulluk çizgisinin altında bulunuyordu.</w:t>
      </w:r>
    </w:p>
    <w:p>
      <w:pPr>
        <w:spacing w:after="140"/>
      </w:pPr>
      <w:r>
        <w:rPr>
          <w:sz w:val="24"/>
          <w:szCs w:val="24"/>
        </w:rPr>
        <w:t xml:space="preserve">Bu nedenle bir yıldaki %3 veya %4 büyüme olumlu olsa bile on dört yıllık kaybı geri getirmez. Düşük tabandan büyüme güçlü görünebilir; fabrikalar, hizmetler ve reel hane geliri yine de eski düzeylerin altında kalabilir.</w:t>
      </w:r>
    </w:p>
    <w:p>
      <w:pPr>
        <w:spacing w:after="140"/>
      </w:pPr>
      <w:r>
        <w:rPr>
          <w:sz w:val="24"/>
          <w:szCs w:val="24"/>
        </w:rPr>
        <w:t xml:space="preserve">2. Büyüme tahminleri neden farklıdır?</w:t>
      </w:r>
    </w:p>
    <w:p>
      <w:pPr>
        <w:spacing w:after="140"/>
      </w:pPr>
      <w:r>
        <w:rPr>
          <w:sz w:val="24"/>
          <w:szCs w:val="24"/>
        </w:rPr>
        <w:t xml:space="preserve">Dünya Bankası Temmuz 2025’te 2025 büyümesini yaklaşık %1 öngörmüştü. Daha sonra güncellenen ülke sayfası, yüksek frekanslı göstergelerin gerçekleşen büyümenin %2–%4 aralığına güçlenmiş olabileceğini gösterdiğini yazdı. İlk sayı erken tarihli tahmin, ikincisi ise liman, uçuş, elektrik ve şirket kaydı gibi yeni işaretlerle yapılan güncel değerlendirmedir.</w:t>
      </w:r>
    </w:p>
    <w:p>
      <w:pPr>
        <w:spacing w:after="140"/>
      </w:pPr>
      <w:r>
        <w:rPr>
          <w:sz w:val="24"/>
          <w:szCs w:val="24"/>
        </w:rPr>
        <w:t xml:space="preserve">Resmî istatistiklerin az olduğu yerde elektrik tüketimi, yük ve liman hareketi, şirket kayıtları, fiyatlar, ürün koşulları, trafik, havaleler, uçuşlar, uydu görüntüleri ve mobil veriler kullanılır. Bir sayının tahmin mi, öncü hesap mı yoksa kesin sonuç mu olduğunu ve hangi tarihte yayımlandığını sorun.</w:t>
      </w:r>
    </w:p>
    <w:p>
      <w:pPr>
        <w:spacing w:after="140"/>
      </w:pPr>
      <w:r>
        <w:rPr>
          <w:sz w:val="24"/>
          <w:szCs w:val="24"/>
        </w:rPr>
        <w:t xml:space="preserve">GöstergeAsıl ölçtüğüGizleyebileceğiGSYHÜlke içindeki üretim değeriGelir dağılımı ve kayıt dışı faaliyetEnflasyonOrtalama fiyat sepeti değişimiŞehir ve haneler arasındaki farkDöviz kuruBelirli piyasadaki para değeriLikidite, komisyon ve gerçek erişimŞirket kaydıResmî kuruluş faaliyetiŞirketin yaşaması ve ölçeğiLiman/hava trafiğiBağlantı ve hareketTicaretin değeri ve yerel katma değer</w:t>
      </w:r>
    </w:p>
    <w:p>
      <w:pPr>
        <w:spacing w:after="140"/>
      </w:pPr>
      <w:r>
        <w:rPr>
          <w:sz w:val="24"/>
          <w:szCs w:val="24"/>
        </w:rPr>
        <w:t xml:space="preserve">3. Büyüme toparlanma değildir; toparlanma da kalkınma değildir</w:t>
      </w:r>
    </w:p>
    <w:p>
      <w:pPr>
        <w:spacing w:after="140"/>
      </w:pPr>
      <w:r>
        <w:rPr>
          <w:sz w:val="24"/>
          <w:szCs w:val="24"/>
        </w:rPr>
        <w:t xml:space="preserve">Büyüme üretimin önceki döneme göre artmasıdır. Toparlanma önceki kayıpların bir kısmının geri alınmasıdır. Kalkınma ise iyileşmenin eğitim, sağlık, kurumlar, gelir ve istihdamda yaygın, verimli ve kalıcı hâle gelmesidir.</w:t>
      </w:r>
    </w:p>
    <w:p>
      <w:pPr>
        <w:spacing w:after="140"/>
      </w:pPr>
      <w:r>
        <w:rPr>
          <w:sz w:val="24"/>
          <w:szCs w:val="24"/>
        </w:rPr>
        <w:t xml:space="preserve">UNDP Şubat 2025’te zayıf büyüme hızlarıyla ekonominin çatışma öncesi GSYH seviyesine 2080’den önce dönemeyebileceğini bildirdi. Süreyi on yıla indirmek, tek iyi yıl değil büyük ve sürekli bir hızlanma gerektirir.</w:t>
      </w:r>
    </w:p>
    <w:p>
      <w:pPr>
        <w:spacing w:after="140"/>
      </w:pPr>
      <w:r>
        <w:rPr>
          <w:sz w:val="24"/>
          <w:szCs w:val="24"/>
        </w:rPr>
        <w:t xml:space="preserve">4. Enflasyon düşerken fiyatlar neden yüksek kalır?</w:t>
      </w:r>
    </w:p>
    <w:p>
      <w:pPr>
        <w:spacing w:after="140"/>
      </w:pPr>
      <w:r>
        <w:rPr>
          <w:sz w:val="24"/>
          <w:szCs w:val="24"/>
        </w:rPr>
        <w:t xml:space="preserve">Dünya Bankası 2025 enflasyonunu yaklaşık %11,5 olarak tahmin ederken IMF 2025 sonuna doğru düşük çift hanelere gerilediğini belirtti. Enflasyonun düşmesi fiyatların eski düzeye dönmesi değil, daha yavaş artmasıdır.</w:t>
      </w:r>
    </w:p>
    <w:p>
      <w:pPr>
        <w:spacing w:after="140"/>
      </w:pPr>
      <w:r>
        <w:rPr>
          <w:sz w:val="24"/>
          <w:szCs w:val="24"/>
        </w:rPr>
        <w:t xml:space="preserve">Bir ürün 100’den 170’e çıktıysa daha düşük enflasyon onu 240 yerine 180’e götürebilir. Hane gerçek rahatlamayı geliri yetiştiğinde, ürün bulunduğunda ve fiyat oynaklığı azaldığında hisseder.</w:t>
      </w:r>
    </w:p>
    <w:p>
      <w:pPr>
        <w:spacing w:after="140"/>
      </w:pPr>
      <w:r>
        <w:rPr>
          <w:sz w:val="24"/>
          <w:szCs w:val="24"/>
        </w:rPr>
        <w:t xml:space="preserve">Gıda, konut ve enerjinin gelirdeki payını izleyin.</w:t>
      </w:r>
    </w:p>
    <w:p>
      <w:pPr>
        <w:spacing w:after="140"/>
      </w:pPr>
      <w:r>
        <w:rPr>
          <w:sz w:val="24"/>
          <w:szCs w:val="24"/>
        </w:rPr>
        <w:t xml:space="preserve">Şirketin kaç günlük stok finanse edebildiğini ölçün.</w:t>
      </w:r>
    </w:p>
    <w:p>
      <w:pPr>
        <w:spacing w:after="140"/>
      </w:pPr>
      <w:r>
        <w:rPr>
          <w:sz w:val="24"/>
          <w:szCs w:val="24"/>
        </w:rPr>
        <w:t xml:space="preserve">Tedarikçi maliyeti ile yeniden fiyatlama arasındaki gecikmeyi kaydedin.</w:t>
      </w:r>
    </w:p>
    <w:p>
      <w:pPr>
        <w:spacing w:after="140"/>
      </w:pPr>
      <w:r>
        <w:rPr>
          <w:sz w:val="24"/>
          <w:szCs w:val="24"/>
        </w:rPr>
        <w:t xml:space="preserve">Tekliflerin ne kadar süre geçerli olduğunu görün.</w:t>
      </w:r>
    </w:p>
    <w:p>
      <w:pPr>
        <w:spacing w:after="140"/>
      </w:pPr>
      <w:r>
        <w:rPr>
          <w:sz w:val="24"/>
          <w:szCs w:val="24"/>
        </w:rPr>
        <w:t xml:space="preserve">Ücretlerin fiyatlardan hızlı mı yavaş mı arttığını karşılaştırın.</w:t>
      </w:r>
    </w:p>
    <w:p>
      <w:pPr>
        <w:spacing w:after="140"/>
      </w:pPr>
      <w:r>
        <w:rPr>
          <w:sz w:val="24"/>
          <w:szCs w:val="24"/>
        </w:rPr>
        <w:t xml:space="preserve">5. Suriye lirası: kuru piyasa koşullarıyla birlikte okuyun</w:t>
      </w:r>
    </w:p>
    <w:p>
      <w:pPr>
        <w:spacing w:after="140"/>
      </w:pPr>
      <w:r>
        <w:rPr>
          <w:sz w:val="24"/>
          <w:szCs w:val="24"/>
        </w:rPr>
        <w:t xml:space="preserve">IMF 2024’e göre kurda değerlenme olduğunu, bunu sıkı para politikası ve bütçenin merkez bankası tarafından finanse edilmemesiyle ilişkilendirdi. Kur; havaleler, güven, ithalat talebi, nakit bulunabilirliği, sermaye akımları ve beklentilerden de etkilenir.</w:t>
      </w:r>
    </w:p>
    <w:p>
      <w:pPr>
        <w:spacing w:after="140"/>
      </w:pPr>
      <w:r>
        <w:rPr>
          <w:sz w:val="24"/>
          <w:szCs w:val="24"/>
        </w:rPr>
        <w:t xml:space="preserve">Şirket için ekrandaki kurdan çok uygulanabilir kur, komisyon, takas süresi ve emir ile sonuç arasındaki risk önemlidir. Kabul, borçlandırma, takas ve kullanılabilir bakiye farkı için bankacılık ve ödemeler rehberine bakın.</w:t>
      </w:r>
    </w:p>
    <w:p>
      <w:pPr>
        <w:spacing w:after="140"/>
      </w:pPr>
      <w:r>
        <w:rPr>
          <w:sz w:val="24"/>
          <w:szCs w:val="24"/>
        </w:rPr>
        <w:t xml:space="preserve">Pratik kural: Yıllık bütçeyi tek kura bağlamayın. Temel ve stres senaryosu kullanın; kur farkını kimin taşıdığını sözleşmeye yazın.</w:t>
      </w:r>
    </w:p>
    <w:p>
      <w:pPr>
        <w:spacing w:after="140"/>
      </w:pPr>
      <w:r>
        <w:rPr>
          <w:sz w:val="24"/>
          <w:szCs w:val="24"/>
        </w:rPr>
        <w:t xml:space="preserve">6. Kamu maliyesi: enflasyonu yeniden hızlandırmadan harcama</w:t>
      </w:r>
    </w:p>
    <w:p>
      <w:pPr>
        <w:spacing w:after="140"/>
      </w:pPr>
      <w:r>
        <w:rPr>
          <w:sz w:val="24"/>
          <w:szCs w:val="24"/>
        </w:rPr>
        <w:t xml:space="preserve">IMF merkezî bütçenin 2025’i küçük bir fazla ile kapattığını ve maliyenin merkez bankası finansmanından kaçındığını belirtti. Üretim karşılığı olmayan para yaratımı fiyat baskısını artırabileceği için bu önemlidir.</w:t>
      </w:r>
    </w:p>
    <w:p>
      <w:pPr>
        <w:spacing w:after="140"/>
      </w:pPr>
      <w:r>
        <w:rPr>
          <w:sz w:val="24"/>
          <w:szCs w:val="24"/>
        </w:rPr>
        <w:t xml:space="preserve">Mali alan yine de çok dardır. Dünya Bankası’nın 2026 kamu maliyesi projesi, kamu gelirlerinin çatışma öncesi GSYH’nin yaklaşık %20’sinden %5’in altına düştüğünü yazdı. Devlet ücret, sağlık, eğitim ve altyapıyı artırırken tahsilat ve şeffaflığı güçlendirmek zorundadır.</w:t>
      </w:r>
    </w:p>
    <w:p>
      <w:pPr>
        <w:spacing w:after="140"/>
      </w:pPr>
      <w:r>
        <w:rPr>
          <w:sz w:val="24"/>
          <w:szCs w:val="24"/>
        </w:rPr>
        <w:t xml:space="preserve">Vergi, gümrük, kamu alımı ve dijital raporlama maliyetlerini hesaplarken vergi ve harçlar rehberini kullanın.</w:t>
      </w:r>
    </w:p>
    <w:p>
      <w:pPr>
        <w:spacing w:after="140"/>
      </w:pPr>
      <w:r>
        <w:rPr>
          <w:sz w:val="24"/>
          <w:szCs w:val="24"/>
        </w:rPr>
        <w:t xml:space="preserve">7. Bankacılık ve kredi: toparlanma gerçek finansal aracılık ister</w:t>
      </w:r>
    </w:p>
    <w:p>
      <w:pPr>
        <w:spacing w:after="140"/>
      </w:pPr>
      <w:r>
        <w:rPr>
          <w:sz w:val="24"/>
          <w:szCs w:val="24"/>
        </w:rPr>
        <w:t xml:space="preserve">Bankalar yalnız para saklamaz; tasarrufu krediye dönüştürür, ödemeleri takas eder ve riski fiyatlar. IMF bankaların mali sağlığının incelenmesini, yeniden yapılandırmayı, güçlü denetimi ve güvenin kurulmasını istedi. Aksi hâlde işletmeler nakit, ortak kredisi, tedarikçi vadesi ve gayriresmî kanallara bağımlı kalır.</w:t>
      </w:r>
    </w:p>
    <w:p>
      <w:pPr>
        <w:spacing w:after="140"/>
      </w:pPr>
      <w:r>
        <w:rPr>
          <w:sz w:val="24"/>
          <w:szCs w:val="24"/>
        </w:rPr>
        <w:t xml:space="preserve">Ödeme altyapısının gelişmesi otomatik olarak kredi yaratmaz. Üretken kredi için doğrulanabilir mali tablo, uygun teminat, kredi bilgisi ve uygulanabilir sözleşme gerekir.</w:t>
      </w:r>
    </w:p>
    <w:p>
      <w:pPr>
        <w:spacing w:after="140"/>
      </w:pPr>
      <w:r>
        <w:rPr>
          <w:sz w:val="24"/>
          <w:szCs w:val="24"/>
        </w:rPr>
        <w:t xml:space="preserve">8. Elektrik ve enerji: her faturanın içindeki maliyet</w:t>
      </w:r>
    </w:p>
    <w:p>
      <w:pPr>
        <w:spacing w:after="140"/>
      </w:pPr>
      <w:r>
        <w:rPr>
          <w:sz w:val="24"/>
          <w:szCs w:val="24"/>
        </w:rPr>
        <w:t xml:space="preserve">IMF ve Dünya Bankası elektrik arzındaki artışı faaliyeti destekleyen unsurlar arasında saydı. Güvenilir enerji; jeneratör yakıtı, duruş, bozulma ve bakım maliyetini azaltır; iletişim, soğutma, su ve sağlık hizmetlerini geliştirir.</w:t>
      </w:r>
    </w:p>
    <w:p>
      <w:pPr>
        <w:spacing w:after="140"/>
      </w:pPr>
      <w:r>
        <w:rPr>
          <w:sz w:val="24"/>
          <w:szCs w:val="24"/>
        </w:rPr>
        <w:t xml:space="preserve">Proje çalışmasında şebeke saatleri, alternatif maliyet, birim başına enerji, kesinti kaybı ve depolama kapasitesi yazılmalıdır.</w:t>
      </w:r>
    </w:p>
    <w:p>
      <w:pPr>
        <w:spacing w:after="140"/>
      </w:pPr>
      <w:r>
        <w:rPr>
          <w:sz w:val="24"/>
          <w:szCs w:val="24"/>
        </w:rPr>
        <w:t xml:space="preserve">9. Tarım ve gıda: yağmur tek başına kârlı sezon yaratmaz</w:t>
      </w:r>
    </w:p>
    <w:p>
      <w:pPr>
        <w:spacing w:after="140"/>
      </w:pPr>
      <w:r>
        <w:rPr>
          <w:sz w:val="24"/>
          <w:szCs w:val="24"/>
        </w:rPr>
        <w:t xml:space="preserve">Dünya Bankası 2025 kuraklığından sonra 2026 yağışlarının iyileştiğini belirtti. Fakat tohum, gübre, yakıt, sulama, taşıma, depolama ve pazar erişimi de belirleyicidir. Soğuk zincir, alıcı ve sezon finansmanı yoksa üretim artsa bile çiftçi zarar edebilir.</w:t>
      </w:r>
    </w:p>
    <w:p>
      <w:pPr>
        <w:spacing w:after="140"/>
      </w:pPr>
      <w:r>
        <w:rPr>
          <w:sz w:val="24"/>
          <w:szCs w:val="24"/>
        </w:rPr>
        <w:t xml:space="preserve">Dış pazar için kalite, ambalaj ve standartlar gerekir. ithalat-ihracat rehberini kullanın.</w:t>
      </w:r>
    </w:p>
    <w:p>
      <w:pPr>
        <w:spacing w:after="140"/>
      </w:pPr>
      <w:r>
        <w:rPr>
          <w:sz w:val="24"/>
          <w:szCs w:val="24"/>
        </w:rPr>
        <w:t xml:space="preserve">10. Sanayi ve küçük işletmeler: slogandan önce verimlilik</w:t>
      </w:r>
    </w:p>
    <w:p>
      <w:pPr>
        <w:spacing w:after="140"/>
      </w:pPr>
      <w:r>
        <w:rPr>
          <w:sz w:val="24"/>
          <w:szCs w:val="24"/>
        </w:rPr>
        <w:t xml:space="preserve">Sanayi döviz kazandırır ve taşıma, ambalaj, bakım ve hizmet talebi oluşturur. Sadece gümrük koruması rekabet gücü yaratmaz; kalite, enerji, finansman, yedek parça, beceri, standart ve pazar gerekir.</w:t>
      </w:r>
    </w:p>
    <w:p>
      <w:pPr>
        <w:spacing w:after="140"/>
      </w:pPr>
      <w:r>
        <w:rPr>
          <w:sz w:val="24"/>
          <w:szCs w:val="24"/>
        </w:rPr>
        <w:t xml:space="preserve">Küçük üretici saatlik çıktı, fire, iade, duruş, stok günü ve enerji/taşıma sonrası marjı izlemelidir. Her birimde zarar ederek satış artırmak sağlıklı büyüme değildir.</w:t>
      </w:r>
    </w:p>
    <w:p>
      <w:pPr>
        <w:spacing w:after="140"/>
      </w:pPr>
      <w:r>
        <w:rPr>
          <w:sz w:val="24"/>
          <w:szCs w:val="24"/>
        </w:rPr>
        <w:t xml:space="preserve">11. Ticaret ve açılma: fırsatla birlikte baskı</w:t>
      </w:r>
    </w:p>
    <w:p>
      <w:pPr>
        <w:spacing w:after="140"/>
      </w:pPr>
      <w:r>
        <w:rPr>
          <w:sz w:val="24"/>
          <w:szCs w:val="24"/>
        </w:rPr>
        <w:t xml:space="preserve">Bölgesel yeniden bütünleşme ve kısıtların gevşemesi ekipman, finansman ve pazara erişimi artırabilir; yerli üreticiyi daha güçlü rekabetle de karşılaştırır. Ekonomi yönetimi düzenlenmiş serbest ve rekabetçi piyasa yönünü açıkladı.</w:t>
      </w:r>
    </w:p>
    <w:p>
      <w:pPr>
        <w:spacing w:after="140"/>
      </w:pPr>
      <w:r>
        <w:rPr>
          <w:sz w:val="24"/>
          <w:szCs w:val="24"/>
        </w:rPr>
        <w:t xml:space="preserve">İthalatçı teslim maliyeti, vergi, finansman, süre, uygunluk ve satış sonrası desteği; ihracatçı düzenli kalite, belge ve güvenli ödemeyi hesaplamalıdır.</w:t>
      </w:r>
    </w:p>
    <w:p>
      <w:pPr>
        <w:spacing w:after="140"/>
      </w:pPr>
      <w:r>
        <w:rPr>
          <w:sz w:val="24"/>
          <w:szCs w:val="24"/>
        </w:rPr>
        <w:t xml:space="preserve">12. İş ve gelir: insanların hissettiği gerçek ölçü</w:t>
      </w:r>
    </w:p>
    <w:p>
      <w:pPr>
        <w:spacing w:after="140"/>
      </w:pPr>
      <w:r>
        <w:rPr>
          <w:sz w:val="24"/>
          <w:szCs w:val="24"/>
        </w:rPr>
        <w:t xml:space="preserve">GSYH büyük proje veya petrol üretimiyle artabilir, ancak yeterli iş hemen oluşmayabilir. ILO’nun Mayıs 2026 çalışmasında 5.335 geri dönen kişinin %80’den fazlası araştırma sırasında işsizdi.</w:t>
      </w:r>
    </w:p>
    <w:p>
      <w:pPr>
        <w:spacing w:after="140"/>
      </w:pPr>
      <w:r>
        <w:rPr>
          <w:sz w:val="24"/>
          <w:szCs w:val="24"/>
        </w:rPr>
        <w:t xml:space="preserve">İnşaat, sanayi, tarım ve hizmetlerde istihdam; gerçek talebe bağlı eğitim ve yurtdışında kazanılan becerinin tanınması gerekir. iş gücü piyasası rehberine bakın.</w:t>
      </w:r>
    </w:p>
    <w:p>
      <w:pPr>
        <w:spacing w:after="140"/>
      </w:pPr>
      <w:r>
        <w:rPr>
          <w:sz w:val="24"/>
          <w:szCs w:val="24"/>
        </w:rPr>
        <w:t xml:space="preserve">13. Yeniden inşa: toplam kadar sıralama da önemlidir</w:t>
      </w:r>
    </w:p>
    <w:p>
      <w:pPr>
        <w:spacing w:after="140"/>
      </w:pPr>
      <w:r>
        <w:rPr>
          <w:sz w:val="24"/>
          <w:szCs w:val="24"/>
        </w:rPr>
        <w:t xml:space="preserve">Dünya Bankası Ekim 2025’te yeniden inşa maliyetini yaklaşık 216 milyar ABD doları tahmin etti ve çatışma öncesi fiziksel sermayenin yaklaşık üçte birinin zarar gördüğünü belirtti. Bu, ihtiyacın büyüklüğünü gösterir; bütün harcamanın bir anda yapılacağı veya her projenin kârlı olduğu anlamına gelmez.</w:t>
      </w:r>
    </w:p>
    <w:p>
      <w:pPr>
        <w:spacing w:after="140"/>
      </w:pPr>
      <w:r>
        <w:rPr>
          <w:sz w:val="24"/>
          <w:szCs w:val="24"/>
        </w:rPr>
        <w:t xml:space="preserve">Elektrik, su, ulaşım, kullanılabilir konut, okul, hastane ve iletişim başka faaliyeti açtığı için önceliklidir. Her projede yaşam döngüsü maliyeti, risk paylaşımı, bakım ve kamuya doğabilecek yükler değerlendirilmelidir.</w:t>
      </w:r>
    </w:p>
    <w:p>
      <w:pPr>
        <w:spacing w:after="140"/>
      </w:pPr>
      <w:r>
        <w:rPr>
          <w:sz w:val="24"/>
          <w:szCs w:val="24"/>
        </w:rPr>
        <w:t xml:space="preserve">14. Yatırım: duyuru finansal kapanış değildir</w:t>
      </w:r>
    </w:p>
    <w:p>
      <w:pPr>
        <w:spacing w:after="140"/>
      </w:pPr>
      <w:r>
        <w:rPr>
          <w:sz w:val="24"/>
          <w:szCs w:val="24"/>
        </w:rPr>
        <w:t xml:space="preserve">Duyurulan projeler ilgiyi gösterir. Gerçek yatırım çalışma, finansman, izin, sözleşme ve uygulama ister. Yatırımcı mülkiyet, para transferi, vergi, gümrük, uyuşmazlık, enerji ve çıkış koşullarını görmelidir.</w:t>
      </w:r>
    </w:p>
    <w:p>
      <w:pPr>
        <w:spacing w:after="140"/>
      </w:pPr>
      <w:r>
        <w:rPr>
          <w:sz w:val="24"/>
          <w:szCs w:val="24"/>
        </w:rPr>
        <w:t xml:space="preserve">şirket kuruluşu ve proje finansmanı rehberleriyle başlayın; bağımsız hukuki, mali ve teknik inceleme yapın.</w:t>
      </w:r>
    </w:p>
    <w:p>
      <w:pPr>
        <w:spacing w:after="140"/>
      </w:pPr>
      <w:r>
        <w:rPr>
          <w:sz w:val="24"/>
          <w:szCs w:val="24"/>
        </w:rPr>
        <w:t xml:space="preserve">15. Operasyon açısından tek bir Suriye piyasası yoktur</w:t>
      </w:r>
    </w:p>
    <w:p>
      <w:pPr>
        <w:spacing w:after="140"/>
      </w:pPr>
      <w:r>
        <w:rPr>
          <w:sz w:val="24"/>
          <w:szCs w:val="24"/>
        </w:rPr>
        <w:t xml:space="preserve">Elektrik, taşıma, fiyat, işgücü, gayrimenkul ve talep vilayet ve şehir bazında değişir. Ulusal ortalamayı yerel projeye doğrudan uygulamayın. Hizmet alanı, tedarik, nüfus hareketi, geri dönüş, rakip ve satın alma gücünü inceleyin.</w:t>
      </w:r>
    </w:p>
    <w:p>
      <w:pPr>
        <w:spacing w:after="140"/>
      </w:pPr>
      <w:r>
        <w:rPr>
          <w:sz w:val="24"/>
          <w:szCs w:val="24"/>
        </w:rPr>
        <w:t xml:space="preserve">işletme rehberi ve fırsatlar yerel tablo kurmaya yardımcı olur.</w:t>
      </w:r>
    </w:p>
    <w:p>
      <w:pPr>
        <w:spacing w:after="140"/>
      </w:pPr>
      <w:r>
        <w:rPr>
          <w:sz w:val="24"/>
          <w:szCs w:val="24"/>
        </w:rPr>
        <w:t xml:space="preserve">16. Söylenti yerine aylık gösterge paneli</w:t>
      </w:r>
    </w:p>
    <w:p>
      <w:pPr>
        <w:spacing w:after="140"/>
      </w:pPr>
      <w:r>
        <w:rPr>
          <w:sz w:val="24"/>
          <w:szCs w:val="24"/>
        </w:rPr>
        <w:t xml:space="preserve">AlanGöstergeKarar sorusuFiyatKendi girdi sepetinizYeniden fiyatlama sonrası marj artıyor mu?KurUygulanabilir kur ve ücretGecikme veya korunma maliyeti nedir?EnerjiŞebeke saati ve alternatif maliyetBirim enerji maliyeti nedir?TalepSipariş ve sepet büyüklüğüArtış miktar mı, sadece fiyat mı?TahsilatAlacak günleriSatış nakde dönüşüyor mu?İşgücüDevir, devamsızlık, verimBeceri açığı büyümeyi kesiyor mu?TicaretNakliye ve gümrük süresiStok gecikmeyi kaldırır mı?</w:t>
      </w:r>
    </w:p>
    <w:p>
      <w:pPr>
        <w:spacing w:after="140"/>
      </w:pPr>
      <w:r>
        <w:rPr>
          <w:sz w:val="24"/>
          <w:szCs w:val="24"/>
        </w:rPr>
        <w:t xml:space="preserve">17. Tek öngörü yerine üç senaryo</w:t>
      </w:r>
    </w:p>
    <w:p>
      <w:pPr>
        <w:spacing w:after="140"/>
      </w:pPr>
      <w:r>
        <w:rPr>
          <w:sz w:val="24"/>
          <w:szCs w:val="24"/>
        </w:rPr>
        <w:t xml:space="preserve">SenaryoEtkenŞirket davranışıDüzenli iyileşmeDaha fazla istikrar, enerji, finansman, ticaretKapasite ve insana aşamalı yatırımDengesiz toparlanmaBazı sektörler büyür, gelir ve hizmet geride kalırBelirli bölge ve müşteriye odaklan, likiditeyi koruYeni şokBölgesel gerilim, zayıf enerji/finansman/ticaretSabit yükü azalt, tedarikçiyi çeşitlendir</w:t>
      </w:r>
    </w:p>
    <w:p>
      <w:pPr>
        <w:spacing w:after="140"/>
      </w:pPr>
      <w:r>
        <w:rPr>
          <w:sz w:val="24"/>
          <w:szCs w:val="24"/>
        </w:rPr>
        <w:t xml:space="preserve">Her senaryo için durma sınırı koyun: hangi kur, enerji maliyeti veya satış düşüşünde büyüme askıya alınacak? Ne kadar nakit gerekir?</w:t>
      </w:r>
    </w:p>
    <w:p>
      <w:pPr>
        <w:spacing w:after="140"/>
      </w:pPr>
      <w:r>
        <w:rPr>
          <w:sz w:val="24"/>
          <w:szCs w:val="24"/>
        </w:rPr>
        <w:t xml:space="preserve">18. Bu analiz kim için nasıl kullanılır?</w:t>
      </w:r>
    </w:p>
    <w:p>
      <w:pPr>
        <w:spacing w:after="140"/>
      </w:pPr>
      <w:r>
        <w:rPr>
          <w:sz w:val="24"/>
          <w:szCs w:val="24"/>
        </w:rPr>
        <w:t xml:space="preserve">Hane: Reel geliri izler, gerçek talebe bağlı beceri geliştirir.</w:t>
      </w:r>
    </w:p>
    <w:p>
      <w:pPr>
        <w:spacing w:after="140"/>
      </w:pPr>
      <w:r>
        <w:rPr>
          <w:sz w:val="24"/>
          <w:szCs w:val="24"/>
        </w:rPr>
        <w:t xml:space="preserve">İşletme: Miktar büyümesini fiyat büyümesinden ayırır, kârdan önce nakdi izler.</w:t>
      </w:r>
    </w:p>
    <w:p>
      <w:pPr>
        <w:spacing w:after="140"/>
      </w:pPr>
      <w:r>
        <w:rPr>
          <w:sz w:val="24"/>
          <w:szCs w:val="24"/>
        </w:rPr>
        <w:t xml:space="preserve">İthalatçı: Talep, teslim maliyeti ve kur riskini test eder.</w:t>
      </w:r>
    </w:p>
    <w:p>
      <w:pPr>
        <w:spacing w:after="140"/>
      </w:pPr>
      <w:r>
        <w:rPr>
          <w:sz w:val="24"/>
          <w:szCs w:val="24"/>
        </w:rPr>
        <w:t xml:space="preserve">İhracatçı: Düzenli kalite, belge ve güvenli ödeme kurar.</w:t>
      </w:r>
    </w:p>
    <w:p>
      <w:pPr>
        <w:spacing w:after="140"/>
      </w:pPr>
      <w:r>
        <w:rPr>
          <w:sz w:val="24"/>
          <w:szCs w:val="24"/>
        </w:rPr>
        <w:t xml:space="preserve">Yatırımcı: Manşet yerine inceleme ve senaryoyla başlar.</w:t>
      </w:r>
    </w:p>
    <w:p>
      <w:pPr>
        <w:spacing w:after="140"/>
      </w:pPr>
      <w:r>
        <w:rPr>
          <w:sz w:val="24"/>
          <w:szCs w:val="24"/>
        </w:rPr>
        <w:t xml:space="preserve">Kamu: Güven için karşılaştırılabilir veri yayımlar.</w:t>
      </w:r>
    </w:p>
    <w:p>
      <w:pPr>
        <w:spacing w:after="140"/>
      </w:pPr>
      <w:r>
        <w:rPr>
          <w:sz w:val="24"/>
          <w:szCs w:val="24"/>
        </w:rPr>
        <w:t xml:space="preserve">19. Kaynaklar</w:t>
      </w:r>
    </w:p>
    <w:p>
      <w:pPr>
        <w:spacing w:after="140"/>
      </w:pPr>
      <w:r>
        <w:rPr>
          <w:sz w:val="24"/>
          <w:szCs w:val="24"/>
        </w:rPr>
        <w:t xml:space="preserve">IMF Şubat 2026 ziyareti</w:t>
      </w:r>
    </w:p>
    <w:p>
      <w:pPr>
        <w:spacing w:after="140"/>
      </w:pPr>
      <w:r>
        <w:rPr>
          <w:sz w:val="24"/>
          <w:szCs w:val="24"/>
        </w:rPr>
        <w:t xml:space="preserve">Dünya Bankası Suriye güncellemesi</w:t>
      </w:r>
    </w:p>
    <w:p>
      <w:pPr>
        <w:spacing w:after="140"/>
      </w:pPr>
      <w:r>
        <w:rPr>
          <w:sz w:val="24"/>
          <w:szCs w:val="24"/>
        </w:rPr>
        <w:t xml:space="preserve">2025 Makro-Mali Değerlendirme</w:t>
      </w:r>
    </w:p>
    <w:p>
      <w:pPr>
        <w:spacing w:after="140"/>
      </w:pPr>
      <w:r>
        <w:rPr>
          <w:sz w:val="24"/>
          <w:szCs w:val="24"/>
        </w:rPr>
        <w:t xml:space="preserve">Yeniden inşa maliyeti</w:t>
      </w:r>
    </w:p>
    <w:p>
      <w:pPr>
        <w:spacing w:after="140"/>
      </w:pPr>
      <w:r>
        <w:rPr>
          <w:sz w:val="24"/>
          <w:szCs w:val="24"/>
        </w:rPr>
        <w:t xml:space="preserve">Kamu maliyesi projesi</w:t>
      </w:r>
    </w:p>
    <w:p>
      <w:pPr>
        <w:spacing w:after="140"/>
      </w:pPr>
      <w:r>
        <w:rPr>
          <w:sz w:val="24"/>
          <w:szCs w:val="24"/>
        </w:rPr>
        <w:t xml:space="preserve">UNDP ekonomik etki değerlendirmesi</w:t>
      </w:r>
    </w:p>
    <w:p>
      <w:pPr>
        <w:spacing w:after="140"/>
      </w:pPr>
      <w:r>
        <w:rPr>
          <w:sz w:val="24"/>
          <w:szCs w:val="24"/>
        </w:rPr>
        <w:t xml:space="preserve">UNDP 2025 yıllık raporu</w:t>
      </w:r>
    </w:p>
    <w:p>
      <w:pPr>
        <w:spacing w:after="140"/>
      </w:pPr>
      <w:r>
        <w:rPr>
          <w:sz w:val="24"/>
          <w:szCs w:val="24"/>
        </w:rPr>
        <w:t xml:space="preserve">ILO geri dönenlerin beceri profili</w:t>
      </w:r>
    </w:p>
    <w:p>
      <w:pPr>
        <w:spacing w:after="140"/>
      </w:pPr>
      <w:r>
        <w:rPr>
          <w:sz w:val="24"/>
          <w:szCs w:val="24"/>
        </w:rPr>
        <w:t xml:space="preserve">Merkez Bankası 2026–2030 stratejisi</w:t>
      </w:r>
    </w:p>
    <w:p>
      <w:pPr>
        <w:spacing w:after="140"/>
      </w:pPr>
      <w:r>
        <w:rPr>
          <w:sz w:val="24"/>
          <w:szCs w:val="24"/>
        </w:rPr>
        <w:t xml:space="preserve">Rekabetçi piyasa açıklaması</w:t>
      </w:r>
    </w:p>
    <w:p>
      <w:pPr>
        <w:spacing w:after="140"/>
      </w:pPr>
      <w:r>
        <w:rPr>
          <w:sz w:val="24"/>
          <w:szCs w:val="24"/>
        </w:rPr>
        <w:t xml:space="preserve">20. Sık sorulan sorular</w:t>
      </w:r>
    </w:p>
    <w:p>
      <w:pPr>
        <w:spacing w:after="140"/>
      </w:pPr>
      <w:r>
        <w:rPr>
          <w:sz w:val="24"/>
          <w:szCs w:val="24"/>
        </w:rPr>
        <w:t xml:space="preserve">Sonuç</w:t>
      </w:r>
    </w:p>
    <w:p>
      <w:pPr>
        <w:spacing w:after="140"/>
      </w:pPr>
      <w:r>
        <w:rPr>
          <w:sz w:val="24"/>
          <w:szCs w:val="24"/>
        </w:rPr>
        <w:t xml:space="preserve">2026’nın en doğru resmi, ağır hasarlı bir tabandan yeniden ivme kazanmaya çalışan ekonomidir. Enflasyondaki yavaşlama, bağlantı ve enerjide iyileşme, kurumsal reform ve yeniden faaliyet önemlidir; ancak yoksulluk, zayıf kredi, altyapı hasarı ve veri açığı sürmektedir. Sağlam karar, tarihli kaynak, aralık, yerel gösterge, senaryo ve sürprize dayanacak nakit kullanır.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2026’da Suriye Ekonomisi: Büyüme, Enflasyon, Kur, Yatırım ve Yeniden İnşa Nasıl Okunmalı?</dc:title>
  <dc:creator>Besouria Editorial</dc:creator>
  <cp:lastModifiedBy>Bsouria</cp:lastModifiedBy>
  <dcterms:created xsi:type="dcterms:W3CDTF">2026-07-31T02:23:44Z</dcterms:created>
</cp:coreProperties>
</file>