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Bankacılık ve Ödemeler Rehberi: Hesap, Transfer, Kart ve Güvenlik</w:t>
      </w:r>
    </w:p>
    <w:p>
      <w:pPr/>
      <w:r>
        <w:rPr>
          <w:i/>
          <w:color w:val="64736B"/>
        </w:rPr>
        <w:t>Bsouria Editorial · 2026-07-26</w:t>
      </w:r>
    </w:p>
    <w:p>
      <w:pPr>
        <w:spacing w:after="220"/>
      </w:pPr>
      <w:r>
        <w:rPr>
          <w:i/>
        </w:rPr>
        <w:t>Hesap, transfer, havale, kart, cüzdan, POS, ücret, ödeme doğrulama ve dolandırıcılıktan korunma rehberi.</w:t>
      </w:r>
    </w:p>
    <w:p>
      <w:pPr>
        <w:spacing w:after="140"/>
      </w:pPr>
      <w:r>
        <w:rPr>
          <w:sz w:val="24"/>
          <w:szCs w:val="24"/>
        </w:rPr>
        <w:t xml:space="preserve">Suriye’nin finansal altyapısı 2026’da hızla değişti: lisanslı bankalar ve ödeme şirketlerinin küresel ağlarla çalışmasına izin verildi, uluslararası kart kabulü başladı, nakit giriş-çıkış noktaları genişledi ve bazı dış havalelerde para birimi seçeneği arttı. Ancak yeni teknoloji her kartın her yerde çalıştığı veya tüm risklerin bittiği anlamına gelmez.</w:t>
      </w:r>
    </w:p>
    <w:p>
      <w:pPr>
        <w:spacing w:after="140"/>
      </w:pPr>
      <w:r>
        <w:rPr>
          <w:sz w:val="24"/>
          <w:szCs w:val="24"/>
        </w:rPr>
        <w:t xml:space="preserve">Uyarı: Hizmet, limit, ücret ve para birimi kuruma, müşteriye, uyum incelemesine ve likiditeye göre değişir. İşlemden önce lisanslı sağlayıcıdan güncel koşulları doğrulayın.</w:t>
      </w:r>
    </w:p>
    <w:p>
      <w:pPr>
        <w:spacing w:after="140"/>
      </w:pPr>
      <w:r>
        <w:rPr>
          <w:sz w:val="24"/>
          <w:szCs w:val="24"/>
        </w:rPr>
        <w:t xml:space="preserve">2026’da ne değişti?</w:t>
      </w:r>
    </w:p>
    <w:p>
      <w:pPr>
        <w:spacing w:after="140"/>
      </w:pPr>
      <w:r>
        <w:rPr>
          <w:sz w:val="24"/>
          <w:szCs w:val="24"/>
        </w:rPr>
        <w:t xml:space="preserve">Mayıs 2026’da lisanslı bankalar ve elektronik ödeme şirketlerinin Visa ve Mastercard gibi küresel ağlarla çalışabileceği açıklandı. Uluslararası kart kabulü ve küresel altyapıyla bağlantı aşamalı olarak başladı. Haziran’da bazı dış havalelerde alıcıya Suriye lirası veya döviz seçeneği tanındı.</w:t>
      </w:r>
    </w:p>
    <w:p>
      <w:pPr>
        <w:spacing w:after="140"/>
      </w:pPr>
      <w:r>
        <w:rPr>
          <w:sz w:val="24"/>
          <w:szCs w:val="24"/>
        </w:rPr>
        <w:t xml:space="preserve">Para kanalları</w:t>
      </w:r>
    </w:p>
    <w:p>
      <w:pPr>
        <w:spacing w:after="140"/>
      </w:pPr>
      <w:r>
        <w:rPr>
          <w:sz w:val="24"/>
          <w:szCs w:val="24"/>
        </w:rPr>
        <w:t xml:space="preserve">Nakit küçük işlemler; banka hesabı maaş, tasarruf ve şirket; kart ATM/POS; cüzdan yerel transfer; havale şehirler ve ülkeler; ticari transfer tedarikçi, müşteri ve ithalat için kullanılır. Her kanalda lisans, kimlik, para birimi, ücret, limit ve itiraz sürecini kontrol edin.</w:t>
      </w:r>
    </w:p>
    <w:p>
      <w:pPr>
        <w:spacing w:after="140"/>
      </w:pPr>
      <w:r>
        <w:rPr>
          <w:sz w:val="24"/>
          <w:szCs w:val="24"/>
        </w:rPr>
        <w:t xml:space="preserve">Hesabı kullanım amacına göre açın</w:t>
      </w:r>
    </w:p>
    <w:p>
      <w:pPr>
        <w:spacing w:after="140"/>
      </w:pPr>
      <w:r>
        <w:rPr>
          <w:sz w:val="24"/>
          <w:szCs w:val="24"/>
        </w:rPr>
        <w:t xml:space="preserve">Kişisel hesap şirket hesabının yerini her zaman tutmaz. Şirket, ortak parasından ayrım, açık imza yetkisi ve faturalarla uyuşan ekstre ister. Asgari tutar, yönetim, transfer, çekim, dijital erişim, kart, para birimi ve ortak imzayı sorun.</w:t>
      </w:r>
    </w:p>
    <w:p>
      <w:pPr>
        <w:spacing w:after="140"/>
      </w:pPr>
      <w:r>
        <w:rPr>
          <w:sz w:val="24"/>
          <w:szCs w:val="24"/>
        </w:rPr>
        <w:t xml:space="preserve">Belgeler neden istenir?</w:t>
      </w:r>
    </w:p>
    <w:p>
      <w:pPr>
        <w:spacing w:after="140"/>
      </w:pPr>
      <w:r>
        <w:rPr>
          <w:sz w:val="24"/>
          <w:szCs w:val="24"/>
        </w:rPr>
        <w:t xml:space="preserve">Banka müşteri, amaç, fon kaynağı ve gerçek faydalanıcıyı anlamalıdır. Şirket için sicil, sözleşme, yönetici, yetkili, mülkiyet, ruhsat, fatura ve kontrat gerekebilir. şirket kuruluş ve doğrulama rehberlerini kullanın.</w:t>
      </w:r>
    </w:p>
    <w:p>
      <w:pPr>
        <w:spacing w:after="140"/>
      </w:pPr>
      <w:r>
        <w:rPr>
          <w:sz w:val="24"/>
          <w:szCs w:val="24"/>
        </w:rPr>
        <w:t xml:space="preserve">Transfer tek adım değildir</w:t>
      </w:r>
    </w:p>
    <w:p>
      <w:pPr>
        <w:spacing w:after="140"/>
      </w:pPr>
      <w:r>
        <w:rPr>
          <w:sz w:val="24"/>
          <w:szCs w:val="24"/>
        </w:rPr>
        <w:t xml:space="preserve">Talimat.</w:t>
      </w:r>
    </w:p>
    <w:p>
      <w:pPr>
        <w:spacing w:after="140"/>
      </w:pPr>
      <w:r>
        <w:rPr>
          <w:sz w:val="24"/>
          <w:szCs w:val="24"/>
        </w:rPr>
        <w:t xml:space="preserve">Bakiye, kimlik ve uyum kontrolü.</w:t>
      </w:r>
    </w:p>
    <w:p>
      <w:pPr>
        <w:spacing w:after="140"/>
      </w:pPr>
      <w:r>
        <w:rPr>
          <w:sz w:val="24"/>
          <w:szCs w:val="24"/>
        </w:rPr>
        <w:t xml:space="preserve">Kabul ve referans.</w:t>
      </w:r>
    </w:p>
    <w:p>
      <w:pPr>
        <w:spacing w:after="140"/>
      </w:pPr>
      <w:r>
        <w:rPr>
          <w:sz w:val="24"/>
          <w:szCs w:val="24"/>
        </w:rPr>
        <w:t xml:space="preserve">Kurumlar arası takas.</w:t>
      </w:r>
    </w:p>
    <w:p>
      <w:pPr>
        <w:spacing w:after="140"/>
      </w:pPr>
      <w:r>
        <w:rPr>
          <w:sz w:val="24"/>
          <w:szCs w:val="24"/>
        </w:rPr>
        <w:t xml:space="preserve">Paranın kullanılabilir olması.</w:t>
      </w:r>
    </w:p>
    <w:p>
      <w:pPr>
        <w:spacing w:after="140"/>
      </w:pPr>
      <w:r>
        <w:rPr>
          <w:sz w:val="24"/>
          <w:szCs w:val="24"/>
        </w:rPr>
        <w:t xml:space="preserve">“Gönderildi” yalnızca talimatın kabulü olabilir. Alıcı hesabındaki kayıt veya doğrulanabilir alıcı teyidi daha güçlü kanıttır.</w:t>
      </w:r>
    </w:p>
    <w:p>
      <w:pPr>
        <w:spacing w:after="140"/>
      </w:pPr>
      <w:r>
        <w:rPr>
          <w:sz w:val="24"/>
          <w:szCs w:val="24"/>
        </w:rPr>
        <w:t xml:space="preserve">Kartlar</w:t>
      </w:r>
    </w:p>
    <w:p>
      <w:pPr>
        <w:spacing w:after="140"/>
      </w:pPr>
      <w:r>
        <w:rPr>
          <w:sz w:val="24"/>
          <w:szCs w:val="24"/>
        </w:rPr>
        <w:t xml:space="preserve">Kartın yerel/uluslararası, banka/kredi/ön ödemeli ve ATM, POS, internet kullanımını sorun. Tutarı PIN’den önce kontrol edin. Kartın fotoğrafını çektirmeyin, güvenlik veya tek kullanımlık kodu vermeyin.</w:t>
      </w:r>
    </w:p>
    <w:p>
      <w:pPr>
        <w:spacing w:after="140"/>
      </w:pPr>
      <w:r>
        <w:rPr>
          <w:sz w:val="24"/>
          <w:szCs w:val="24"/>
        </w:rPr>
        <w:t xml:space="preserve">Cüzdan ve ödeme şirketleri</w:t>
      </w:r>
    </w:p>
    <w:p>
      <w:pPr>
        <w:spacing w:after="140"/>
      </w:pPr>
      <w:r>
        <w:rPr>
          <w:sz w:val="24"/>
          <w:szCs w:val="24"/>
        </w:rPr>
        <w:t xml:space="preserve">Lisanslı sağlayıcı ve resmî uygulama kullanın. Kontrol ettiğiniz numarayı bağlayın, cihazı kilitleyin, referansı saklayın. Yeni alıcıya küçük test göndermek faydalıdır.</w:t>
      </w:r>
    </w:p>
    <w:p>
      <w:pPr>
        <w:spacing w:after="140"/>
      </w:pPr>
      <w:r>
        <w:rPr>
          <w:sz w:val="24"/>
          <w:szCs w:val="24"/>
        </w:rPr>
        <w:t xml:space="preserve">İşletmede ekran görüntüsü yetmez</w:t>
      </w:r>
    </w:p>
    <w:p>
      <w:pPr>
        <w:spacing w:after="140"/>
      </w:pPr>
      <w:r>
        <w:rPr>
          <w:sz w:val="24"/>
          <w:szCs w:val="24"/>
        </w:rPr>
        <w:t xml:space="preserve">Her ödemeyi sipariş, fatura, zaman, kanal ve referansla bağlayın. POS/cüzdan raporunu banka ekstresiyle mutabık kılın. Bekleyen, mükerrer, iptal ve iade işlemi için prosedür hazırlayın.</w:t>
      </w:r>
    </w:p>
    <w:p>
      <w:pPr>
        <w:spacing w:after="140"/>
      </w:pPr>
      <w:r>
        <w:rPr>
          <w:sz w:val="24"/>
          <w:szCs w:val="24"/>
        </w:rPr>
        <w:t xml:space="preserve">Toplam maliyet</w:t>
      </w:r>
    </w:p>
    <w:p>
      <w:pPr>
        <w:spacing w:after="140"/>
      </w:pPr>
      <w:r>
        <w:rPr>
          <w:sz w:val="24"/>
          <w:szCs w:val="24"/>
        </w:rPr>
        <w:t xml:space="preserve">Gönderme, alma, çekim, POS, döviz, aracı banka ve kur farkı olabilir. “Bu tutarda benden ne kesilir ve alıcıya ne geçer?” sorusuna sayısal cevap isteyin.</w:t>
      </w:r>
    </w:p>
    <w:p>
      <w:pPr>
        <w:spacing w:after="140"/>
      </w:pPr>
      <w:r>
        <w:rPr>
          <w:sz w:val="24"/>
          <w:szCs w:val="24"/>
        </w:rPr>
        <w:t xml:space="preserve">Tedarikçi ve müşteri ödemesi</w:t>
      </w:r>
    </w:p>
    <w:p>
      <w:pPr>
        <w:spacing w:after="140"/>
      </w:pPr>
      <w:r>
        <w:rPr>
          <w:sz w:val="24"/>
          <w:szCs w:val="24"/>
        </w:rPr>
        <w:t xml:space="preserve">Sözleşmede hesap, para birimi, tarih, ücret sorumluluğu ve referans yazsın. Tek e-postayla gelen hesap değişikliğini ikinci kanaldan bilinen kişiye doğrulatın. ithalat-ihracat rehberini kullanın.</w:t>
      </w:r>
    </w:p>
    <w:p>
      <w:pPr>
        <w:spacing w:after="140"/>
      </w:pPr>
      <w:r>
        <w:rPr>
          <w:sz w:val="24"/>
          <w:szCs w:val="24"/>
        </w:rPr>
        <w:t xml:space="preserve">Mutabakat</w:t>
      </w:r>
    </w:p>
    <w:p>
      <w:pPr>
        <w:spacing w:after="140"/>
      </w:pPr>
      <w:r>
        <w:rPr>
          <w:sz w:val="24"/>
          <w:szCs w:val="24"/>
        </w:rPr>
        <w:t xml:space="preserve">Aynı dönem raporlarını çıkarın; referans, tutar ve para birimini eşleştirin; farkları ayırın; süre içinde itiraz edin; muhasebe kaydını belgeleyin.</w:t>
      </w:r>
    </w:p>
    <w:p>
      <w:pPr>
        <w:spacing w:after="140"/>
      </w:pPr>
      <w:r>
        <w:rPr>
          <w:sz w:val="24"/>
          <w:szCs w:val="24"/>
        </w:rPr>
        <w:t xml:space="preserve">Güvenlik katmanları</w:t>
      </w:r>
    </w:p>
    <w:p>
      <w:pPr>
        <w:spacing w:after="140"/>
      </w:pPr>
      <w:r>
        <w:rPr>
          <w:sz w:val="24"/>
          <w:szCs w:val="24"/>
        </w:rPr>
        <w:t xml:space="preserve">Benzersiz şifre ve güvenilir yönetici.</w:t>
      </w:r>
    </w:p>
    <w:p>
      <w:pPr>
        <w:spacing w:after="140"/>
      </w:pPr>
      <w:r>
        <w:rPr>
          <w:sz w:val="24"/>
          <w:szCs w:val="24"/>
        </w:rPr>
        <w:t xml:space="preserve">İki aşamalı doğrulama.</w:t>
      </w:r>
    </w:p>
    <w:p>
      <w:pPr>
        <w:spacing w:after="140"/>
      </w:pPr>
      <w:r>
        <w:rPr>
          <w:sz w:val="24"/>
          <w:szCs w:val="24"/>
        </w:rPr>
        <w:t xml:space="preserve">Kodu kimseyle paylaşmama.</w:t>
      </w:r>
    </w:p>
    <w:p>
      <w:pPr>
        <w:spacing w:after="140"/>
      </w:pPr>
      <w:r>
        <w:rPr>
          <w:sz w:val="24"/>
          <w:szCs w:val="24"/>
        </w:rPr>
        <w:t xml:space="preserve">Şirkette oluşturma ve onay yetkisini ayırma.</w:t>
      </w:r>
    </w:p>
    <w:p>
      <w:pPr>
        <w:spacing w:after="140"/>
      </w:pPr>
      <w:r>
        <w:rPr>
          <w:sz w:val="24"/>
          <w:szCs w:val="24"/>
        </w:rPr>
        <w:t xml:space="preserve">Uyarı ve ekstre kontrolü.</w:t>
      </w:r>
    </w:p>
    <w:p>
      <w:pPr>
        <w:spacing w:after="140"/>
      </w:pPr>
      <w:r>
        <w:rPr>
          <w:sz w:val="24"/>
          <w:szCs w:val="24"/>
        </w:rPr>
        <w:t xml:space="preserve">Telefon ve e-posta güncelleme.</w:t>
      </w:r>
    </w:p>
    <w:p>
      <w:pPr>
        <w:spacing w:after="140"/>
      </w:pPr>
      <w:r>
        <w:rPr>
          <w:sz w:val="24"/>
          <w:szCs w:val="24"/>
        </w:rPr>
        <w:t xml:space="preserve">Dolandırıcılık şüphesi</w:t>
      </w:r>
    </w:p>
    <w:p>
      <w:pPr>
        <w:spacing w:after="140"/>
      </w:pPr>
      <w:r>
        <w:rPr>
          <w:sz w:val="24"/>
          <w:szCs w:val="24"/>
        </w:rPr>
        <w:t xml:space="preserve">İletişimi kesin, “kilit açma” parası göndermeyin, resmî numaradan kuruma ulaşın, güvenli cihazdan bilgileri değiştirin, mesaj ve referansları saklayın, hızlı itiraz edin.</w:t>
      </w:r>
    </w:p>
    <w:p>
      <w:pPr>
        <w:spacing w:after="140"/>
      </w:pPr>
      <w:r>
        <w:rPr>
          <w:sz w:val="24"/>
          <w:szCs w:val="24"/>
        </w:rPr>
        <w:t xml:space="preserve">Uluslararası uyum</w:t>
      </w:r>
    </w:p>
    <w:p>
      <w:pPr>
        <w:spacing w:after="140"/>
      </w:pPr>
      <w:r>
        <w:rPr>
          <w:sz w:val="24"/>
          <w:szCs w:val="24"/>
        </w:rPr>
        <w:t xml:space="preserve">Küresel ağ erişimi taraf, mal, banka ve yaptırım taramasını kaldırmaz. İşlemden önce bankanın belge listesini alın.</w:t>
      </w:r>
    </w:p>
    <w:p>
      <w:pPr>
        <w:spacing w:after="140"/>
      </w:pPr>
      <w:r>
        <w:rPr>
          <w:sz w:val="24"/>
          <w:szCs w:val="24"/>
        </w:rPr>
        <w:t xml:space="preserve">Ödemeyi nakit akışına bağlayın</w:t>
      </w:r>
    </w:p>
    <w:p>
      <w:pPr>
        <w:spacing w:after="140"/>
      </w:pPr>
      <w:r>
        <w:rPr>
          <w:sz w:val="24"/>
          <w:szCs w:val="24"/>
        </w:rPr>
        <w:t xml:space="preserve">Talimat, borç, takas ve kullanılabilirlik tarihini kaydedin. proje finansmanı rehberiyle planlayın.</w:t>
      </w:r>
    </w:p>
    <w:p>
      <w:pPr>
        <w:spacing w:after="140"/>
      </w:pPr>
      <w:r>
        <w:rPr>
          <w:sz w:val="24"/>
          <w:szCs w:val="24"/>
        </w:rPr>
        <w:t xml:space="preserve">Dış havale kontrol listesi</w:t>
      </w:r>
    </w:p>
    <w:p>
      <w:pPr>
        <w:spacing w:after="140"/>
      </w:pPr>
      <w:r>
        <w:rPr>
          <w:sz w:val="24"/>
          <w:szCs w:val="24"/>
        </w:rPr>
        <w:t xml:space="preserve">Alıcı adını kimlikle aynı yazın; şehir, referans, para birimi ve teslim biçimini kontrol edin. Referansı açık grupta paylaşmayın. Lira veya döviz seçeneği varsa, teslim edilecek net tutarı, komisyonu, kuru ve o günkü kullanılabilirliği sorun. Resmî kanal dışında tanımadığınız kişiye güvenmeyin.</w:t>
      </w:r>
    </w:p>
    <w:p>
      <w:pPr>
        <w:spacing w:after="140"/>
      </w:pPr>
      <w:r>
        <w:rPr>
          <w:sz w:val="24"/>
          <w:szCs w:val="24"/>
        </w:rPr>
        <w:t xml:space="preserve">İşletme ödeme kaydı</w:t>
      </w:r>
    </w:p>
    <w:p>
      <w:pPr>
        <w:spacing w:after="140"/>
      </w:pPr>
      <w:r>
        <w:rPr>
          <w:sz w:val="24"/>
          <w:szCs w:val="24"/>
        </w:rPr>
        <w:t xml:space="preserve">AlanNeden gerekli?Sipariş numarasıÖdemeyi satışla eşleştirirİşlem referansıİzleme ve itiraz sağlarTutar ve para birimiKur ve giriş hatasını önlerÜcretBrüt-net farkını açıklarTakas durumuBekleyen ile alınanı ayırırKullanılabilirlik tarihiNakit planını destekler</w:t>
      </w:r>
    </w:p>
    <w:p>
      <w:pPr>
        <w:spacing w:after="140"/>
      </w:pPr>
      <w:r>
        <w:rPr>
          <w:sz w:val="24"/>
          <w:szCs w:val="24"/>
        </w:rPr>
        <w:t xml:space="preserve">Tedarikçi hesabı dolandırıcılığı</w:t>
      </w:r>
    </w:p>
    <w:p>
      <w:pPr>
        <w:spacing w:after="140"/>
      </w:pPr>
      <w:r>
        <w:rPr>
          <w:sz w:val="24"/>
          <w:szCs w:val="24"/>
        </w:rPr>
        <w:t xml:space="preserve">Bir e-postayla gelen yeni banka hesabına ödeme yapmayın. Bilinen telefon veya ikinci kanal üzerinden yetkili kişiye ulaşın. Sözleşme, fatura, şirket adı ve hesap sahibi aynı mantıkta olmalıdır. Özellikle ödeme tarihinden hemen önceki acil değişiklik güçlü uyarıdır.</w:t>
      </w:r>
    </w:p>
    <w:p>
      <w:pPr>
        <w:spacing w:after="140"/>
      </w:pPr>
      <w:r>
        <w:rPr>
          <w:sz w:val="24"/>
          <w:szCs w:val="24"/>
        </w:rPr>
        <w:t xml:space="preserve">İtiraz dosyası nasıl hazırlanır?</w:t>
      </w:r>
    </w:p>
    <w:p>
      <w:pPr>
        <w:spacing w:after="140"/>
      </w:pPr>
      <w:r>
        <w:rPr>
          <w:sz w:val="24"/>
          <w:szCs w:val="24"/>
        </w:rPr>
        <w:t xml:space="preserve">Referans, tarih, tutar, para birimi, kanal, ekran kaydı, sözleşme veya sipariş ve karşı tarafla yazışmayı toplayın. Sağlayıcının resmî itiraz kanalını ve süresini kullanın. Tekrarlanan işlemi, iptali ve geri ödemeyi ayrı statülerle izleyin.</w:t>
      </w:r>
    </w:p>
    <w:p>
      <w:pPr>
        <w:spacing w:after="140"/>
      </w:pPr>
      <w:r>
        <w:rPr>
          <w:sz w:val="24"/>
          <w:szCs w:val="24"/>
        </w:rPr>
        <w:t xml:space="preserve">Şirket içinde yetki matrisi</w:t>
      </w:r>
    </w:p>
    <w:p>
      <w:pPr>
        <w:spacing w:after="140"/>
      </w:pPr>
      <w:r>
        <w:rPr>
          <w:sz w:val="24"/>
          <w:szCs w:val="24"/>
        </w:rPr>
        <w:t xml:space="preserve">Ödemeyi oluşturan kişi tek başına onaylamamalıdır. Tutar seviyesine göre bir veya iki onay, yeni alıcı için ek kontrol ve hesap değişikliğinde ikinci doğrulama koyun. Ayrılan çalışanın erişimini aynı gün kaldırın.</w:t>
      </w:r>
    </w:p>
    <w:p>
      <w:pPr>
        <w:spacing w:after="140"/>
      </w:pPr>
      <w:r>
        <w:rPr>
          <w:sz w:val="24"/>
          <w:szCs w:val="24"/>
        </w:rPr>
        <w:t xml:space="preserve">Sistem kesintisi planı</w:t>
      </w:r>
    </w:p>
    <w:p>
      <w:pPr>
        <w:spacing w:after="140"/>
      </w:pPr>
      <w:r>
        <w:rPr>
          <w:sz w:val="24"/>
          <w:szCs w:val="24"/>
        </w:rPr>
        <w:t xml:space="preserve">İnternet, POS veya cüzdan kesilirse satışın nasıl kaydedileceğini, hangi tutara kadar alternatif kabul edileceğini ve sonradan nasıl mutabakat yapılacağını yazın. Aynı işlemi birden çok kanalda tahsil etmemek için geçici numara veya kayıt kullanın.</w:t>
      </w:r>
    </w:p>
    <w:p>
      <w:pPr>
        <w:spacing w:after="140"/>
      </w:pPr>
      <w:r>
        <w:rPr>
          <w:sz w:val="24"/>
          <w:szCs w:val="24"/>
        </w:rPr>
        <w:t xml:space="preserve">Ücret ve kur maliyetini karşılaştırın</w:t>
      </w:r>
    </w:p>
    <w:p>
      <w:pPr>
        <w:spacing w:after="140"/>
      </w:pPr>
      <w:r>
        <w:rPr>
          <w:sz w:val="24"/>
          <w:szCs w:val="24"/>
        </w:rPr>
        <w:t xml:space="preserve">İlan edilen komisyon toplam maliyet değildir. Gönderme, alma, çekim, POS, döviz dönüşümü, aracı kurum ve kur farkı ayrı olabilir. Aynı tutar için “gönderenden ne çıkar, alıcıya ne ulaşır ve ne zaman kullanılabilir?” şeklinde yazılı örnek isteyin. Şirketler kanalları aylık olarak maliyet, hız, başarısızlık ve iade oranına göre karşılaştırmalıdır.</w:t>
      </w:r>
    </w:p>
    <w:p>
      <w:pPr>
        <w:spacing w:after="140"/>
      </w:pPr>
      <w:r>
        <w:rPr>
          <w:sz w:val="24"/>
          <w:szCs w:val="24"/>
        </w:rPr>
        <w:t xml:space="preserve">Önemli ödeme öncesi yedi kontrol</w:t>
      </w:r>
    </w:p>
    <w:p>
      <w:pPr>
        <w:spacing w:after="140"/>
      </w:pPr>
      <w:r>
        <w:rPr>
          <w:sz w:val="24"/>
          <w:szCs w:val="24"/>
        </w:rPr>
        <w:t xml:space="preserve">Alıcı kimliği ve hesabı bağımsız kanaldan doğrulandı mı?</w:t>
      </w:r>
    </w:p>
    <w:p>
      <w:pPr>
        <w:spacing w:after="140"/>
      </w:pPr>
      <w:r>
        <w:rPr>
          <w:sz w:val="24"/>
          <w:szCs w:val="24"/>
        </w:rPr>
        <w:t xml:space="preserve">Fatura, sözleşme ve ödeme amacı uyuşuyor mu?</w:t>
      </w:r>
    </w:p>
    <w:p>
      <w:pPr>
        <w:spacing w:after="140"/>
      </w:pPr>
      <w:r>
        <w:rPr>
          <w:sz w:val="24"/>
          <w:szCs w:val="24"/>
        </w:rPr>
        <w:t xml:space="preserve">Para birimi, kur ve toplam ücret biliniyor mu?</w:t>
      </w:r>
    </w:p>
    <w:p>
      <w:pPr>
        <w:spacing w:after="140"/>
      </w:pPr>
      <w:r>
        <w:rPr>
          <w:sz w:val="24"/>
          <w:szCs w:val="24"/>
        </w:rPr>
        <w:t xml:space="preserve">Kanal lisanslı ve itiraz edilebilir mi?</w:t>
      </w:r>
    </w:p>
    <w:p>
      <w:pPr>
        <w:spacing w:after="140"/>
      </w:pPr>
      <w:r>
        <w:rPr>
          <w:sz w:val="24"/>
          <w:szCs w:val="24"/>
        </w:rPr>
        <w:t xml:space="preserve">Şirket içi onay tamam mı?</w:t>
      </w:r>
    </w:p>
    <w:p>
      <w:pPr>
        <w:spacing w:after="140"/>
      </w:pPr>
      <w:r>
        <w:rPr>
          <w:sz w:val="24"/>
          <w:szCs w:val="24"/>
        </w:rPr>
        <w:t xml:space="preserve">Referans mutabakat için yeterli mi?</w:t>
      </w:r>
    </w:p>
    <w:p>
      <w:pPr>
        <w:spacing w:after="140"/>
      </w:pPr>
      <w:r>
        <w:rPr>
          <w:sz w:val="24"/>
          <w:szCs w:val="24"/>
        </w:rPr>
        <w:t xml:space="preserve">Son dakika hesap değişikliği veya olağandışı baskı var mı?</w:t>
      </w:r>
    </w:p>
    <w:p>
      <w:pPr>
        <w:spacing w:after="140"/>
      </w:pPr>
      <w:r>
        <w:rPr>
          <w:sz w:val="24"/>
          <w:szCs w:val="24"/>
        </w:rPr>
        <w:t xml:space="preserve">Ödemeyi nakit döngüsüne bağlayın</w:t>
      </w:r>
    </w:p>
    <w:p>
      <w:pPr>
        <w:spacing w:after="140"/>
      </w:pPr>
      <w:r>
        <w:rPr>
          <w:sz w:val="24"/>
          <w:szCs w:val="24"/>
        </w:rPr>
        <w:t xml:space="preserve">Talimat tarihi, hesaptan çıkış, takas ve kullanılabilirlik tarihini ayrı ayrı yazın. Hızlı kanal yüksek ücretle marjı azaltabilir; ucuz kanal tedarikçiyi geciktirebilir. Kararı yalnız komisyonla değil, stok, teslimat ve müşteri tahsilatı üzerindeki etkisiyle verin.</w:t>
      </w:r>
    </w:p>
    <w:p>
      <w:pPr>
        <w:spacing w:after="140"/>
      </w:pPr>
      <w:r>
        <w:rPr>
          <w:sz w:val="24"/>
          <w:szCs w:val="24"/>
        </w:rPr>
        <w:t xml:space="preserve">Kaynaklar</w:t>
      </w:r>
    </w:p>
    <w:p>
      <w:pPr>
        <w:spacing w:after="140"/>
      </w:pPr>
      <w:r>
        <w:rPr>
          <w:sz w:val="24"/>
          <w:szCs w:val="24"/>
        </w:rPr>
        <w:t xml:space="preserve">Küresel ağ kararı</w:t>
      </w:r>
    </w:p>
    <w:p>
      <w:pPr>
        <w:spacing w:after="140"/>
      </w:pPr>
      <w:r>
        <w:rPr>
          <w:sz w:val="24"/>
          <w:szCs w:val="24"/>
        </w:rPr>
        <w:t xml:space="preserve">Küresel bağlı ödeme ağı</w:t>
      </w:r>
    </w:p>
    <w:p>
      <w:pPr>
        <w:spacing w:after="140"/>
      </w:pPr>
      <w:r>
        <w:rPr>
          <w:sz w:val="24"/>
          <w:szCs w:val="24"/>
        </w:rPr>
        <w:t xml:space="preserve">Mastercard teknik bağlantı</w:t>
      </w:r>
    </w:p>
    <w:p>
      <w:pPr>
        <w:spacing w:after="140"/>
      </w:pPr>
      <w:r>
        <w:rPr>
          <w:sz w:val="24"/>
          <w:szCs w:val="24"/>
        </w:rPr>
        <w:t xml:space="preserve">QNB dijital ödeme</w:t>
      </w:r>
    </w:p>
    <w:p>
      <w:pPr>
        <w:spacing w:after="140"/>
      </w:pPr>
      <w:r>
        <w:rPr>
          <w:sz w:val="24"/>
          <w:szCs w:val="24"/>
        </w:rPr>
        <w:t xml:space="preserve">Dış havale para birimi</w:t>
      </w:r>
    </w:p>
    <w:p>
      <w:pPr>
        <w:spacing w:after="140"/>
      </w:pPr>
      <w:r>
        <w:rPr>
          <w:sz w:val="24"/>
          <w:szCs w:val="24"/>
        </w:rPr>
        <w:t xml:space="preserve">Merkez Bankası 2026–2030</w:t>
      </w:r>
    </w:p>
    <w:p>
      <w:pPr>
        <w:spacing w:after="140"/>
      </w:pPr>
      <w:r>
        <w:rPr>
          <w:sz w:val="24"/>
          <w:szCs w:val="24"/>
        </w:rPr>
        <w:t xml:space="preserve">Sık sorulan sorular</w:t>
      </w:r>
    </w:p>
    <w:p>
      <w:pPr>
        <w:spacing w:after="140"/>
      </w:pPr>
      <w:r>
        <w:rPr>
          <w:sz w:val="24"/>
          <w:szCs w:val="24"/>
        </w:rPr>
        <w:t xml:space="preserve">Sonuç</w:t>
      </w:r>
    </w:p>
    <w:p>
      <w:pPr>
        <w:spacing w:after="140"/>
      </w:pPr>
      <w:r>
        <w:rPr>
          <w:sz w:val="24"/>
          <w:szCs w:val="24"/>
        </w:rPr>
        <w:t xml:space="preserve">İyi ödeme; doğrulanmış kimlik, lisanslı kanal, bilinen para ve ücret, izlenebilir referans, gerçek takas ve muhasebe mutabakatıdır.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Bankacılık ve Ödemeler Rehberi: Hesap, Transfer, Kart ve Güvenlik</dc:title>
  <dc:creator>Bsouria Editorial</dc:creator>
  <cp:lastModifiedBy>Bsouria</cp:lastModifiedBy>
  <dcterms:created xsi:type="dcterms:W3CDTF">2026-07-31T02:22:53Z</dcterms:created>
</cp:coreProperties>
</file>