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 Suriye Şirketi İçin Akıllı Vergi Dosyası</w:t>
      </w:r>
    </w:p>
    <w:p>
      <w:pPr/>
      <w:r>
        <w:rPr>
          <w:i/>
          <w:color w:val="64736B"/>
        </w:rPr>
        <w:t>Ander · 2026-07-29</w:t>
      </w:r>
    </w:p>
    <w:p>
      <w:pPr>
        <w:spacing w:after="220"/>
      </w:pPr>
      <w:r>
        <w:rPr>
          <w:i/>
        </w:rPr>
        <w:t>Fatura, gider, stok, bordro, banka, ithalat ve denetim dosyası rehberi.</w:t>
      </w:r>
    </w:p>
    <w:p>
      <w:pPr>
        <w:spacing w:after="140"/>
      </w:pPr>
      <w:r>
        <w:rPr>
          <w:sz w:val="24"/>
          <w:szCs w:val="24"/>
        </w:rPr>
        <w:t xml:space="preserve">Bu makale, Suriye’de çalışan işletmeler için insan diliyle hazırlanmış ayrıntılı bir uygulama rehberidir. Amaç yalnızca kavramları açıklamak değil; her kuralı bir sorumluya, belgeye, tarihe ve ölçülebilir sonuca bağlamaktır. İşletme küçük olsa bile satış, vergi, ödeme veya dış ticaret kararı hafızaya bırakıldığında hata büyür. Bu nedenle aşağıdaki bölümler sade formlar, düzenli kontrol ve gerçek iş akışına uyarlanabilir adımlar sunar.</w:t>
      </w:r>
    </w:p>
    <w:p>
      <w:pPr>
        <w:spacing w:after="140"/>
      </w:pPr>
      <w:r>
        <w:rPr>
          <w:sz w:val="24"/>
          <w:szCs w:val="24"/>
        </w:rPr>
        <w:t xml:space="preserve">Önemli not: Banka, vergi, gümrük, yaptırım ve lisans kuralları değişebilir. Her önemli işlemde güncel resmî kaynak ve yetkili uzman teyidi alın.</w:t>
      </w:r>
    </w:p>
    <w:p>
      <w:pPr>
        <w:spacing w:after="140"/>
      </w:pPr>
      <w:r>
        <w:rPr>
          <w:sz w:val="24"/>
          <w:szCs w:val="24"/>
        </w:rPr>
        <w:t xml:space="preserve">Kanıt zinciri</w:t>
      </w:r>
    </w:p>
    <w:p>
      <w:pPr>
        <w:spacing w:after="140"/>
      </w:pPr>
      <w:r>
        <w:rPr>
          <w:sz w:val="24"/>
          <w:szCs w:val="24"/>
        </w:rPr>
        <w:t xml:space="preserve">Bu bölümün ana konusu Sözleşme, fatura, teslim ve ödemeyi bağlayın..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Dosyayı işlem numarasıyla düzenleyin.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Uyum takvimi</w:t>
      </w:r>
    </w:p>
    <w:p>
      <w:pPr>
        <w:spacing w:after="140"/>
      </w:pPr>
      <w:r>
        <w:rPr>
          <w:sz w:val="24"/>
          <w:szCs w:val="24"/>
        </w:rPr>
        <w:t xml:space="preserve">Bu bölümün ana konusu İç teslim tarihini resmi tarihten önce koyun..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Uzatma kararını saklayın.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Fatura kontrolü</w:t>
      </w:r>
    </w:p>
    <w:p>
      <w:pPr>
        <w:spacing w:after="140"/>
      </w:pPr>
      <w:r>
        <w:rPr>
          <w:sz w:val="24"/>
          <w:szCs w:val="24"/>
        </w:rPr>
        <w:t xml:space="preserve">Bu bölümün ana konusu Fatura sırasını kontrol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Müşteri ana verisini temizleyin.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Gelir ve finansman ayrımı</w:t>
      </w:r>
    </w:p>
    <w:p>
      <w:pPr>
        <w:spacing w:after="140"/>
      </w:pPr>
      <w:r>
        <w:rPr>
          <w:sz w:val="24"/>
          <w:szCs w:val="24"/>
        </w:rPr>
        <w:t xml:space="preserve">Bu bölümün ana konusu Her girişin tarafını ve amacını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Ortak hesabını aylık inceleyin.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Savunulabilir gider</w:t>
      </w:r>
    </w:p>
    <w:p>
      <w:pPr>
        <w:spacing w:after="140"/>
      </w:pPr>
      <w:r>
        <w:rPr>
          <w:sz w:val="24"/>
          <w:szCs w:val="24"/>
        </w:rPr>
        <w:t xml:space="preserve">Bu bölümün ana konusu Giderin iş amacını kanıtlayın..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Kişisel ve ticari kısmı ayırın.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Nakit kontrolü</w:t>
      </w:r>
    </w:p>
    <w:p>
      <w:pPr>
        <w:spacing w:after="140"/>
      </w:pPr>
      <w:r>
        <w:rPr>
          <w:sz w:val="24"/>
          <w:szCs w:val="24"/>
        </w:rPr>
        <w:t xml:space="preserve">Bu bölümün ana konusu Kasa limiti ve numaralı makbuz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Günlük mutabakat yapın.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Banka mutabakatı</w:t>
      </w:r>
    </w:p>
    <w:p>
      <w:pPr>
        <w:spacing w:after="140"/>
      </w:pPr>
      <w:r>
        <w:rPr>
          <w:sz w:val="24"/>
          <w:szCs w:val="24"/>
        </w:rPr>
        <w:t xml:space="preserve">Bu bölümün ana konusu İç transferi gelir saymayın..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Bilinmeyen tutarı araştırın.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Stok ve sayım</w:t>
      </w:r>
    </w:p>
    <w:p>
      <w:pPr>
        <w:spacing w:after="140"/>
      </w:pPr>
      <w:r>
        <w:rPr>
          <w:sz w:val="24"/>
          <w:szCs w:val="24"/>
        </w:rPr>
        <w:t xml:space="preserve">Bu bölümün ana konusu Birim ve sayımı standardize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Fireyi belgeleyin.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Varlık ve amortisman</w:t>
      </w:r>
    </w:p>
    <w:p>
      <w:pPr>
        <w:spacing w:after="140"/>
      </w:pPr>
      <w:r>
        <w:rPr>
          <w:sz w:val="24"/>
          <w:szCs w:val="24"/>
        </w:rPr>
        <w:t xml:space="preserve">Bu bölümün ana konusu Varlık numarası ve sorumlu belirleyin..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Satış ve hurdayı belgeleyin.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Bordro ve sigorta</w:t>
      </w:r>
    </w:p>
    <w:p>
      <w:pPr>
        <w:spacing w:after="140"/>
      </w:pPr>
      <w:r>
        <w:rPr>
          <w:sz w:val="24"/>
          <w:szCs w:val="24"/>
        </w:rPr>
        <w:t xml:space="preserve">Bu bölümün ana konusu Sözleşme, bordro ve ödemeyi eşleştirin..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Avansı ücretten ayırın.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İthalatçı vergi dosyası</w:t>
      </w:r>
    </w:p>
    <w:p>
      <w:pPr>
        <w:spacing w:after="140"/>
      </w:pPr>
      <w:r>
        <w:rPr>
          <w:sz w:val="24"/>
          <w:szCs w:val="24"/>
        </w:rPr>
        <w:t xml:space="preserve">Bu bölümün ana konusu Her sevkiyat için dosya açın..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Vergi avansını takip edin.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Sözleşme ve damga</w:t>
      </w:r>
    </w:p>
    <w:p>
      <w:pPr>
        <w:spacing w:after="140"/>
      </w:pPr>
      <w:r>
        <w:rPr>
          <w:sz w:val="24"/>
          <w:szCs w:val="24"/>
        </w:rPr>
        <w:t xml:space="preserve">Bu bölümün ana konusu Vergi ve harçları sözleşmede açıklayın..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İmzadan önce inceleyin.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Aylık kapanış</w:t>
      </w:r>
    </w:p>
    <w:p>
      <w:pPr>
        <w:spacing w:after="140"/>
      </w:pPr>
      <w:r>
        <w:rPr>
          <w:sz w:val="24"/>
          <w:szCs w:val="24"/>
        </w:rPr>
        <w:t xml:space="preserve">Bu bölümün ana konusu Aylık kapanış listesi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Soruları yıl sonuna bırakmayın.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Denetim dosyası</w:t>
      </w:r>
    </w:p>
    <w:p>
      <w:pPr>
        <w:spacing w:after="140"/>
      </w:pPr>
      <w:r>
        <w:rPr>
          <w:sz w:val="24"/>
          <w:szCs w:val="24"/>
        </w:rPr>
        <w:t xml:space="preserve">Bu bölümün ana konusu Tek iletişim kişisi ve istek kaydı kullanın..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Teslim edilen kopyayı saklayın.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İtiraz ve süre</w:t>
      </w:r>
    </w:p>
    <w:p>
      <w:pPr>
        <w:spacing w:after="140"/>
      </w:pPr>
      <w:r>
        <w:rPr>
          <w:sz w:val="24"/>
          <w:szCs w:val="24"/>
        </w:rPr>
        <w:t xml:space="preserve">Bu bölümün ana konusu İtiraz nedenini ve süreyi yazın..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Her iddiayı belgeye bağlayın.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Dijital hazırlık</w:t>
      </w:r>
    </w:p>
    <w:p>
      <w:pPr>
        <w:spacing w:after="140"/>
      </w:pPr>
      <w:r>
        <w:rPr>
          <w:sz w:val="24"/>
          <w:szCs w:val="24"/>
        </w:rPr>
        <w:t xml:space="preserve">Bu bölümün ana konusu Ana veriyi temizleyin ve yedeklemeyi test edin..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Silme yetkisini sınırlayın.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İlişkili taraflar</w:t>
      </w:r>
    </w:p>
    <w:p>
      <w:pPr>
        <w:spacing w:after="140"/>
      </w:pPr>
      <w:r>
        <w:rPr>
          <w:sz w:val="24"/>
          <w:szCs w:val="24"/>
        </w:rPr>
        <w:t xml:space="preserve">Bu bölümün ana konusu documenting owner and related-company loans, sales and purchases.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Saklama ve yedekleme</w:t>
      </w:r>
    </w:p>
    <w:p>
      <w:pPr>
        <w:spacing w:after="140"/>
      </w:pPr>
      <w:r>
        <w:rPr>
          <w:sz w:val="24"/>
          <w:szCs w:val="24"/>
        </w:rPr>
        <w:t xml:space="preserve">Bu bölümün ana konusu defining retention for originals, digital copies, email and statements.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Mevzuat güncelleme süreci</w:t>
      </w:r>
    </w:p>
    <w:p>
      <w:pPr>
        <w:spacing w:after="140"/>
      </w:pPr>
      <w:r>
        <w:rPr>
          <w:sz w:val="24"/>
          <w:szCs w:val="24"/>
        </w:rPr>
        <w:t xml:space="preserve">Bu bölümün ana konusu tracking instrument, effective date and procedure impact from official sources.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Örneklem testi</w:t>
      </w:r>
    </w:p>
    <w:p>
      <w:pPr>
        <w:spacing w:after="140"/>
      </w:pPr>
      <w:r>
        <w:rPr>
          <w:sz w:val="24"/>
          <w:szCs w:val="24"/>
        </w:rPr>
        <w:t xml:space="preserve">Bu bölümün ana konusu tracing sales and purchases from ledger to evidence and evidence to ledger. Günlük işte sorun çoğu zaman hemen görünmez. Dosyalar dolu, satışlar hareketli veya sevkiyat ilerliyor gibi görünürken para, kanıt, süre ya da sorumluluk tarafında sessiz bir açık oluşabilir. Bu nedenle süreç, tek bir kişinin hafızasına değil herkesin anlayabileceği yazılı bir akışa bağlanmalıdır.</w:t>
      </w:r>
    </w:p>
    <w:p>
      <w:pPr>
        <w:spacing w:after="140"/>
      </w:pPr>
      <w:r>
        <w:rPr>
          <w:sz w:val="24"/>
          <w:szCs w:val="24"/>
        </w:rPr>
        <w:t xml:space="preserve">En yaygın hata, işlem gerçekleştiği anda gerekli referansın, onayın veya belgenin bırakılmamasıdır. Aylar sonra aynı işlemi açıklamak zorlaşır. İyi kontrol, işi yavaşlatmak için değil; doğru kişinin doğru anda karar vermesini ve istisnanın sonradan görülebilmesini sağlamak için kurulur.</w:t>
      </w:r>
    </w:p>
    <w:p>
      <w:pPr>
        <w:spacing w:after="140"/>
      </w:pPr>
      <w:r>
        <w:rPr>
          <w:sz w:val="24"/>
          <w:szCs w:val="24"/>
        </w:rPr>
        <w:t xml:space="preserve">Uygulanabilir bir form ve sorumlu belirleyin.</w:t>
      </w:r>
    </w:p>
    <w:p>
      <w:pPr>
        <w:spacing w:after="140"/>
      </w:pPr>
      <w:r>
        <w:rPr>
          <w:sz w:val="24"/>
          <w:szCs w:val="24"/>
        </w:rPr>
        <w:t xml:space="preserve">Sürecin sorumlusunu ve yedeğini belirleyin.</w:t>
      </w:r>
    </w:p>
    <w:p>
      <w:pPr>
        <w:spacing w:after="140"/>
      </w:pPr>
      <w:r>
        <w:rPr>
          <w:sz w:val="24"/>
          <w:szCs w:val="24"/>
        </w:rPr>
        <w:t xml:space="preserve">Belgeyi, tarihi ve işlem numarasını aynı kayıtta tutun.</w:t>
      </w:r>
    </w:p>
    <w:p>
      <w:pPr>
        <w:spacing w:after="140"/>
      </w:pPr>
      <w:r>
        <w:rPr>
          <w:sz w:val="24"/>
          <w:szCs w:val="24"/>
        </w:rPr>
        <w:t xml:space="preserve">İki haftalık denemeden sonra sonucu ölçün ve kuralı güncelleyin.</w:t>
      </w:r>
    </w:p>
    <w:p>
      <w:pPr>
        <w:spacing w:after="140"/>
      </w:pPr>
      <w:r>
        <w:rPr>
          <w:sz w:val="24"/>
          <w:szCs w:val="24"/>
        </w:rPr>
        <w:t xml:space="preserve">Uygulamada küçük bir örnekle başlayın. Beş işlem seçin ve başlangıçtan sonuca kadar izleyin. Nerede bekleme, tekrar, eksik bilgi veya yetki sorunu oluştuğunu yazın. Yalnızca sonucu değil, gecikmenin veya farkın nedenini de kaydedin. Böylece ekip suçlu aramak yerine süreçteki zayıf noktayı düzeltir.</w:t>
      </w:r>
    </w:p>
    <w:p>
      <w:pPr>
        <w:spacing w:after="140"/>
      </w:pPr>
      <w:r>
        <w:rPr>
          <w:sz w:val="24"/>
          <w:szCs w:val="24"/>
        </w:rPr>
        <w:t xml:space="preserve">Hafta sonunda şu soruyu sorun: Şirkete yeni katılan biri bu işlemi yalnızca dosyaya bakarak anlayabilir mi? Cevap hayırsa yeni bir alan, kontrol listesi, onay veya belge ekleyin. Bu yaklaşım kişisel tecrübeyi kurumsal bilgiye dönüştürür ve çalışan değişse bile düzenin devam etmesini sağlar.</w:t>
      </w:r>
    </w:p>
    <w:p>
      <w:pPr>
        <w:spacing w:after="140"/>
      </w:pPr>
      <w:r>
        <w:rPr>
          <w:sz w:val="24"/>
          <w:szCs w:val="24"/>
        </w:rPr>
        <w:t xml:space="preserve">Sık sorulan sorular</w:t>
      </w:r>
    </w:p>
    <w:p>
      <w:pPr>
        <w:spacing w:after="140"/>
      </w:pPr>
      <w:r>
        <w:rPr>
          <w:sz w:val="24"/>
          <w:szCs w:val="24"/>
        </w:rPr>
        <w:t xml:space="preserve">Pahalı bir yazılım gerekli mi? Hayır. Önce açık kurallar, numaralandırma, sorumluluk ve düzenli mutabakat gerekir. Yazılım ancak iyi süreci hızlandırır.</w:t>
      </w:r>
    </w:p>
    <w:p>
      <w:pPr>
        <w:spacing w:after="140"/>
      </w:pPr>
      <w:r>
        <w:rPr>
          <w:sz w:val="24"/>
          <w:szCs w:val="24"/>
        </w:rPr>
        <w:t xml:space="preserve">Çok küçük işletme de uygulayabilir mi? Evet. Formları kısaltın fakat kanıt, tarih, sorumlu ve kontrol ilkelerini kaldırmayın.</w:t>
      </w:r>
    </w:p>
    <w:p>
      <w:pPr>
        <w:spacing w:after="140"/>
      </w:pPr>
      <w:r>
        <w:rPr>
          <w:sz w:val="24"/>
          <w:szCs w:val="24"/>
        </w:rPr>
        <w:t xml:space="preserve">Ne zaman uzman gerekir? Büyük tutar, karmaşık sözleşme, vergi incelemesi, gümrük sınıflandırması, yaptırım veya sınır ötesi ödeme olduğunda uzman görüşü önemlidir.</w:t>
      </w:r>
    </w:p>
    <w:p>
      <w:pPr>
        <w:spacing w:after="140"/>
      </w:pPr>
      <w:r>
        <w:rPr>
          <w:sz w:val="24"/>
          <w:szCs w:val="24"/>
        </w:rPr>
        <w:t xml:space="preserve">İyileşmeyi nasıl ölçerim? İşlem süresi, gecikme, eşleşmeyen kayıt, hata, iade, nakit açığı veya maliyet sapmasını önce ve sonra karşılaştırın.</w:t>
      </w:r>
    </w:p>
    <w:p>
      <w:pPr>
        <w:spacing w:after="140"/>
      </w:pPr>
      <w:r>
        <w:rPr>
          <w:sz w:val="24"/>
          <w:szCs w:val="24"/>
        </w:rPr>
        <w:t xml:space="preserve">Resmî kaynaklar ve bağlantılar</w:t>
      </w:r>
    </w:p>
    <w:p>
      <w:pPr>
        <w:spacing w:after="140"/>
      </w:pPr>
      <w:r>
        <w:rPr>
          <w:sz w:val="24"/>
          <w:szCs w:val="24"/>
        </w:rPr>
        <w:t xml:space="preserve">Syrian tax authority</w:t>
      </w:r>
    </w:p>
    <w:p>
      <w:pPr>
        <w:spacing w:after="140"/>
      </w:pPr>
      <w:r>
        <w:rPr>
          <w:sz w:val="24"/>
          <w:szCs w:val="24"/>
        </w:rPr>
        <w:t xml:space="preserve">Syrian Income Tax Law – WIPO Lex</w:t>
      </w:r>
    </w:p>
    <w:p>
      <w:pPr>
        <w:spacing w:after="140"/>
      </w:pPr>
      <w:r>
        <w:rPr>
          <w:sz w:val="24"/>
          <w:szCs w:val="24"/>
        </w:rPr>
        <w:t xml:space="preserve">World Bank public financial management grant</w:t>
      </w:r>
    </w:p>
    <w:p>
      <w:pPr>
        <w:spacing w:after="140"/>
      </w:pPr>
      <w:r>
        <w:rPr>
          <w:sz w:val="24"/>
          <w:szCs w:val="24"/>
        </w:rPr>
        <w:t xml:space="preserve">Sonuç</w:t>
      </w:r>
    </w:p>
    <w:p>
      <w:pPr>
        <w:spacing w:after="140"/>
      </w:pPr>
      <w:r>
        <w:rPr>
          <w:sz w:val="24"/>
          <w:szCs w:val="24"/>
        </w:rPr>
        <w:t xml:space="preserve">Güçlü sistem kusursuz olmak zorunda değildir. Görünür, açıklanabilir ve düzenli olarak geliştirilebilir olması yeterlidir. Karar, belge, sorumluluk ve ölçüm bir araya geldiğinde büyüme daha az kaotik ve daha sürdürülebilir olur.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 Suriye Şirketi İçin Akıllı Vergi Dosyası</dc:title>
  <dc:creator>Ander</dc:creator>
  <cp:lastModifiedBy>Bsouria</cp:lastModifiedBy>
  <dcterms:created xsi:type="dcterms:W3CDTF">2026-09-15T14:48:04Z</dcterms:created>
</cp:coreProperties>
</file>