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Du ministère à la municipalité : la carte administrative syrienne pour les citoyens et les entreprises</w:t>
      </w:r>
    </w:p>
    <w:p>
      <w:pPr/>
      <w:r>
        <w:rPr>
          <w:i/>
          <w:color w:val="64736B"/>
        </w:rPr>
        <w:t>Bsouria · 2026-10-23</w:t>
      </w:r>
    </w:p>
    <w:p>
      <w:pPr>
        <w:spacing w:after="220"/>
      </w:pPr>
      <w:r>
        <w:rPr>
          <w:i/>
        </w:rPr>
        <w:t>Ministères, gouvernorats, districts et services locaux en Syrie : identifier le bon interlocuteur, suivre une demande et distinguer réclamation et recours.</w:t>
      </w:r>
    </w:p>
    <w:p>
      <w:pPr>
        <w:spacing w:after="140"/>
      </w:pPr>
      <w:r>
        <w:rPr>
          <w:sz w:val="24"/>
          <w:szCs w:val="24"/>
        </w:rPr>
        <w:t xml:space="preserve">Vue panoramique de Damas, photographie d’archive de 2008 — Vyacheslav Argenberg / Wikimedia Commons · CC BY 4.0. Recadrage et redimensionnement ; ne prouve pas la situation actuelle.</w:t>
      </w:r>
    </w:p>
    <w:p>
      <w:pPr>
        <w:spacing w:after="140"/>
      </w:pPr>
      <w:r>
        <w:rPr>
          <w:sz w:val="24"/>
          <w:szCs w:val="24"/>
        </w:rPr>
        <w:t xml:space="preserve">Révision éditoriale et sources : 23 octobre 2026. Guide civique général distinguant texte et application ; vérifiez les procédures actuelles pour chaque dossier.</w:t>
      </w:r>
    </w:p>
    <w:p>
      <w:pPr>
        <w:spacing w:after="140"/>
      </w:pPr>
      <w:r>
        <w:rPr>
          <w:sz w:val="24"/>
          <w:szCs w:val="24"/>
        </w:rPr>
        <w:t xml:space="preserve">Une démarche simple peut devenir un long parcours quand ministère, direction, gouvernorat et municipalité sont considérés comme la même institution. On vous renvoie vers le gouvernorat, puis vers une antenne, et vous ignorez toujours qui peut délivrer le document. L’information manquante n’est pas toujours le nom du responsable. C’est la différence entre votre lieu de résidence, l’organisme chargé du service et l’autorité habilitée à prendre la décision finale.</w:t>
      </w:r>
    </w:p>
    <w:p>
      <w:pPr>
        <w:spacing w:after="140"/>
      </w:pPr>
      <w:r>
        <w:rPr>
          <w:sz w:val="24"/>
          <w:szCs w:val="24"/>
        </w:rPr>
        <w:t xml:space="preserve">Revu le 23 octobre 2026, ce guide complète notre article sur la présidence, le Parlement et la justice. Il porte sur l’administration et les démarches courantes. Les structures évoluent et l’accès aux services peut varier selon les lieux. Nous ne publions pas de numéros non vérifiés et ne promettons pas partout les mêmes tarifs ou délais. L’annonce d’un service numérique ne prouve pas sa disponibilité immédiate dans chaque gouvernorat. Cette carte sert à rechercher la procédure actuelle de votre dossier.</w:t>
      </w:r>
    </w:p>
    <w:p>
      <w:pPr>
        <w:spacing w:after="140"/>
      </w:pPr>
      <w:r>
        <w:rPr>
          <w:sz w:val="24"/>
          <w:szCs w:val="24"/>
        </w:rPr>
        <w:t xml:space="preserve">QuestionCe qu’il faut identifierQuel service ?Secteur : éducation, santé, finances ou autre domaineQuel lieu ?Adresse formelle et circonscription appropriéeQui reçoit ?Centre de service, direction ou accueil habilitéQui décide ?Autorité compétente, parfois différente du destinataire initial</w:t>
      </w:r>
    </w:p>
    <w:p>
      <w:pPr>
        <w:spacing w:after="140"/>
      </w:pPr>
      <w:r>
        <w:rPr>
          <w:sz w:val="24"/>
          <w:szCs w:val="24"/>
        </w:rPr>
        <w:t xml:space="preserve">Deux cartes se croisent : le secteur et le territoire</w:t>
      </w:r>
    </w:p>
    <w:p>
      <w:pPr>
        <w:spacing w:after="140"/>
      </w:pPr>
      <w:r>
        <w:rPr>
          <w:sz w:val="24"/>
          <w:szCs w:val="24"/>
        </w:rPr>
        <w:t xml:space="preserve">La première carte est sectorielle : santé, éducation, finances, agriculture, affaires économiques et autres domaines. Elle répond à la question du sujet de la démarche. La seconde est territoriale : gouvernorats, districts et sous-districts, avec villes, bourgs, municipalités et quartiers. Elle concerne le lieu du bien, de l’activité, du registre ou du service. Une direction sectorielle située dans un gouvernorat n’appartient pas automatiquement au bureau du gouverneur ou à la municipalité.</w:t>
      </w:r>
    </w:p>
    <w:p>
      <w:pPr>
        <w:spacing w:after="140"/>
      </w:pPr>
      <w:r>
        <w:rPr>
          <w:sz w:val="24"/>
          <w:szCs w:val="24"/>
        </w:rPr>
        <w:t xml:space="preserve">Prenons un exemple pédagogique. Un hôpital dans une ville n’est pas, pour tous ses dossiers, administré par le conseil de cette ville. Une direction financière n’est pas une commission municipale parce qu’elle dessert les mêmes habitants. Notez l’objet précis, le lieu et le résultat attendu. Puis distinguez le service qui reçoit votre demande de celui qui émet la réponse. Un centre d’accueil peut transmettre un dossier sans être l’autorité de décision.</w:t>
      </w:r>
    </w:p>
    <w:p>
      <w:pPr>
        <w:spacing w:after="140"/>
      </w:pPr>
      <w:r>
        <w:rPr>
          <w:sz w:val="24"/>
          <w:szCs w:val="24"/>
        </w:rPr>
        <w:t xml:space="preserve">Les quatorze gouvernorats syriens</w:t>
      </w:r>
    </w:p>
    <w:p>
      <w:pPr>
        <w:spacing w:after="140"/>
      </w:pPr>
      <w:r>
        <w:rPr>
          <w:sz w:val="24"/>
          <w:szCs w:val="24"/>
        </w:rPr>
        <w:t xml:space="preserve">La carte administrative établie comprend Damas, Rif Dimachq, Alep, Homs, Hama, Lattaquié, Tartous, Idlib, Deraa, Soueïda, Quneitra, Deir ez-Zor, Raqqa et Hassaké. Cette liste ne classe ni la population ni l’importance des territoires. Elle ne décrit pas non plus l’accès effectif à chaque institution publique. Pour un bureau particulier, vérifiez séparément le siège actuel, le canal de contact et les modalités de fonctionnement, notamment lorsque des locaux ou des conditions d’accès ont changé.</w:t>
      </w:r>
    </w:p>
    <w:p>
      <w:pPr>
        <w:spacing w:after="140"/>
      </w:pPr>
      <w:r>
        <w:rPr>
          <w:sz w:val="24"/>
          <w:szCs w:val="24"/>
        </w:rPr>
        <w:t xml:space="preserve">Damas et Rif Dimachq sont deux gouvernorats différents. Alep ou Homs peuvent désigner, dans la conversation, la ville ou le gouvernorat plus vaste. Cette ambiguïté compte dans un contrat. Une annonce peut utiliser le nom d’une grande ville voisine alors que le bien relève d’une autre circonscription. Faites correspondre la localisation administrative, l’autorité locale et les références foncières requises. Le point le plus proche sur une carte n’identifie pas forcément le registre compétent.</w:t>
      </w:r>
    </w:p>
    <w:p>
      <w:pPr>
        <w:spacing w:after="140"/>
      </w:pPr>
      <w:r>
        <w:rPr>
          <w:sz w:val="24"/>
          <w:szCs w:val="24"/>
        </w:rPr>
        <w:t xml:space="preserve">Toutes les adresses ne passent pas par les mêmes cases</w:t>
      </w:r>
    </w:p>
    <w:p>
      <w:pPr>
        <w:spacing w:after="140"/>
      </w:pPr>
      <w:r>
        <w:rPr>
          <w:sz w:val="24"/>
          <w:szCs w:val="24"/>
        </w:rPr>
        <w:t xml:space="preserve">Gouvernorat, district et sous-district donnent une hiérarchie territoriale générale. Villes, bourgs et municipalités ne constituent pas une chaîne supplémentaire identique pour chaque adresse. N’inventez pas une subdivision parce qu’un formulaire exige une réponse dans toutes les cases. Utilisez les données administratives applicables et demandez comment indiquer l’exception. Une approximation saisie rapidement peut ensuite se retrouver dans un contrat, un certificat et un fichier client, avec des corrections difficiles.</w:t>
      </w:r>
    </w:p>
    <w:p>
      <w:pPr>
        <w:spacing w:after="140"/>
      </w:pPr>
      <w:r>
        <w:rPr>
          <w:sz w:val="24"/>
          <w:szCs w:val="24"/>
        </w:rPr>
        <w:t xml:space="preserve">District, sous-district et unité administrative locale</w:t>
      </w:r>
    </w:p>
    <w:p>
      <w:pPr>
        <w:spacing w:after="140"/>
      </w:pPr>
      <w:r>
        <w:rPr>
          <w:sz w:val="24"/>
          <w:szCs w:val="24"/>
        </w:rPr>
        <w:t xml:space="preserve">Subdivisions territoriales distinguées des types d’unités locales</w:t>
      </w:r>
    </w:p>
    <w:p>
      <w:pPr>
        <w:spacing w:after="140"/>
      </w:pPr>
      <w:r>
        <w:rPr>
          <w:sz w:val="24"/>
          <w:szCs w:val="24"/>
        </w:rPr>
        <w:t xml:space="preserve">La loi d’administration locale 107 de 2011 distingue des subdivisions territoriales et des unités administratives. Elle décrit les gouvernorats divisés en districts, les districts en sous-districts et les villes, bourgs et municipalités en quartiers. Elle identifie aussi des unités dotées de personnalité juridique. Un district n’est donc pas simplement une municipalité sous un autre nom ; un quartier n’est pas un petit gouvernorat. Les limites et dénominations dépendent d’actes qui peuvent évoluer. [source]</w:t>
      </w:r>
    </w:p>
    <w:p>
      <w:pPr>
        <w:spacing w:after="140"/>
      </w:pPr>
      <w:r>
        <w:rPr>
          <w:sz w:val="24"/>
          <w:szCs w:val="24"/>
        </w:rPr>
        <w:t xml:space="preserve">Cette loi est citée comme référence expressément utilisée dans un communiqué officiel de juin 2026, et non comme preuve que chaque formule historique de nomination décrive la pratique actuelle. En avril 2026, le ministère évoquait un travail de réécriture. Annoncer une réforme ne prouve pas qu’un texte de remplacement est entré en vigueur. Avant d’utiliser une disposition ancienne précise, vérifiez les modifications, actes d’organisation et délégations ultérieurs, surtout si elle mentionne une fonction réorganisée pendant la transition.</w:t>
      </w:r>
    </w:p>
    <w:p>
      <w:pPr>
        <w:spacing w:after="140"/>
      </w:pPr>
      <w:r>
        <w:rPr>
          <w:sz w:val="24"/>
          <w:szCs w:val="24"/>
        </w:rPr>
        <w:t xml:space="preserve">Gouverneur, conseil local et direction : des rôles distincts</w:t>
      </w:r>
    </w:p>
    <w:p>
      <w:pPr>
        <w:spacing w:after="140"/>
      </w:pPr>
      <w:r>
        <w:rPr>
          <w:sz w:val="24"/>
          <w:szCs w:val="24"/>
        </w:rPr>
        <w:t xml:space="preserve">Le gouverneur occupe une fonction au niveau du gouvernorat ; un conseil local exerce les missions prévues par son organisation ; une direction intervient dans un secteur ou service selon son cadre. Des représentants peuvent participer au même projet sans fusionner leurs pouvoirs. Si un registre est tenu par un organisme précis, un bureau de coordination ne devient pas habilité à le délivrer parce qu’il paraît plus élevé dans l’organigramme. Recherchez le détenteur du dossier et le signataire compétent.</w:t>
      </w:r>
    </w:p>
    <w:p>
      <w:pPr>
        <w:spacing w:after="140"/>
      </w:pPr>
      <w:r>
        <w:rPr>
          <w:sz w:val="24"/>
          <w:szCs w:val="24"/>
        </w:rPr>
        <w:t xml:space="preserve">De même, conseil du gouvernorat, conseil de ville et bureau exécutif ne sont pas des appellations interchangeables. Nous ne prétendons pas que tous les conseils de toutes les régions se constituent actuellement selon une méthode identique : il faut les décisions locales à jour. La distinction essentielle reste valable. Un conseil local n’est pas l’Assemblée du peuple, ne crée pas une loi nationale par son seul nom et ne rend pas un jugement dans un litige privé.</w:t>
      </w:r>
    </w:p>
    <w:p>
      <w:pPr>
        <w:spacing w:after="140"/>
      </w:pPr>
      <w:r>
        <w:rPr>
          <w:sz w:val="24"/>
          <w:szCs w:val="24"/>
        </w:rPr>
        <w:t xml:space="preserve">Un ministère n’est pas un guichet unique pour tout son secteur</w:t>
      </w:r>
    </w:p>
    <w:p>
      <w:pPr>
        <w:spacing w:after="140"/>
      </w:pPr>
      <w:r>
        <w:rPr>
          <w:sz w:val="24"/>
          <w:szCs w:val="24"/>
        </w:rPr>
        <w:t xml:space="preserve">Les fonctions peuvent se répartir entre administration centrale, directions territoriales, établissements et organismes régis par leur propre organisation. Un organisme public important n’est pas nécessairement un ministère ni une antenne municipale. Avant de vous déplacer, consultez le guide actuel ou demandez à un canal officiel si le dépôt est central, local, délégué ou reçu dans un centre de services. Demandez la preuve de réception et l’institution chargée de l’étape suivante.</w:t>
      </w:r>
    </w:p>
    <w:p>
      <w:pPr>
        <w:spacing w:after="140"/>
      </w:pPr>
      <w:r>
        <w:rPr>
          <w:sz w:val="24"/>
          <w:szCs w:val="24"/>
        </w:rPr>
        <w:t xml:space="preserve">Séparez l’institution de la personne qui la dirige. Un ministre peut changer sans déplacement du service ; une réorganisation peut transférer une compétence tandis qu’un ancien nom reste utilisé. Comprendre le mandat et le parcours du dossier est donc plus utile que mémoriser une liste de personnes. Les actes de nomination datés servent pour les noms ; les instructions actuelles servent pour les démarches. Aucun de ces documents ne répond, seul, à toutes les questions.</w:t>
      </w:r>
    </w:p>
    <w:p>
      <w:pPr>
        <w:spacing w:after="140"/>
      </w:pPr>
      <w:r>
        <w:rPr>
          <w:sz w:val="24"/>
          <w:szCs w:val="24"/>
        </w:rPr>
        <w:t xml:space="preserve">Identité, état civil et démarches consulaires</w:t>
      </w:r>
    </w:p>
    <w:p>
      <w:pPr>
        <w:spacing w:after="140"/>
      </w:pPr>
      <w:r>
        <w:rPr>
          <w:sz w:val="24"/>
          <w:szCs w:val="24"/>
        </w:rPr>
        <w:t xml:space="preserve">Six questions pour identifier et suivre une démarche administrative</w:t>
      </w:r>
    </w:p>
    <w:p>
      <w:pPr>
        <w:spacing w:after="140"/>
      </w:pPr>
      <w:r>
        <w:rPr>
          <w:sz w:val="24"/>
          <w:szCs w:val="24"/>
        </w:rPr>
        <w:t xml:space="preserve">Pour l’identité, l’état civil, les passeports ou le séjour, recherchez le service officiel compétent dans le secteur de l’intérieur ou l’organisme actuellement désigné. Utiliser une pièce à l’étranger peut nécessiter des étapes différentes de sa délivrance initiale. La publicité d’un intermédiaire ne prouve pas qu’il puisse supprimer présence, pièces justificatives ou conditions légales. Vérifiez son rôle et le paiement officiel avant de lui remettre des documents personnels.</w:t>
      </w:r>
    </w:p>
    <w:p>
      <w:pPr>
        <w:spacing w:after="140"/>
      </w:pPr>
      <w:r>
        <w:rPr>
          <w:sz w:val="24"/>
          <w:szCs w:val="24"/>
        </w:rPr>
        <w:t xml:space="preserve">La légalisation par les affaires étrangères, le service consulaire et la reconnaissance par le destinataire sont des opérations différentes. Identifiez l’origine de la pièce et son usage futur, puis vérifiez les exigences auprès du service et du destinataire. Il n’existe pas de séquence universelle pour tous les pays et types de documents. Cette méthode de vérification n’est pas une liste obligatoire de cachets et traductions. Les formalités inutiles peuvent coûter autant que celles qui manquent.</w:t>
      </w:r>
    </w:p>
    <w:p>
      <w:pPr>
        <w:spacing w:after="140"/>
      </w:pPr>
      <w:r>
        <w:rPr>
          <w:sz w:val="24"/>
          <w:szCs w:val="24"/>
        </w:rPr>
        <w:t xml:space="preserve">Éducation, santé et affaires sociales</w:t>
      </w:r>
    </w:p>
    <w:p>
      <w:pPr>
        <w:spacing w:after="140"/>
      </w:pPr>
      <w:r>
        <w:rPr>
          <w:sz w:val="24"/>
          <w:szCs w:val="24"/>
        </w:rPr>
        <w:t xml:space="preserve">Une démarche scolaire, une admission universitaire et la reconnaissance d’un diplôme ne sont pas un même dossier. Précisez le niveau d’enseignement, l’année et la catégorie du demandeur. L’université, une direction ou un centre d’inscription peut être le point de départ. Vérifiez indépendamment le canal avant d’envoyer des certificats originaux ou des informations sensibles à un compte arborant un logo officiel. Gardez les instructions et la trace de la demande et des réponses reçues.</w:t>
      </w:r>
    </w:p>
    <w:p>
      <w:pPr>
        <w:spacing w:after="140"/>
      </w:pPr>
      <w:r>
        <w:rPr>
          <w:sz w:val="24"/>
          <w:szCs w:val="24"/>
        </w:rPr>
        <w:t xml:space="preserve">La santé peut concerner soins, réglementation professionnelle, établissements et hôpitaux. Un problème de rendez-vous diffère d’un différend sur une autorisation d’exercice. Le travail, les programmes sociaux et les assurances exigent aussi de préciser la question : admissibilité, cotisations, relation d’emploi, évaluation médicale ou décision administrative. Une annonce générale ne prouve pas le droit individuel d’une personne ni sa date de paiement. Vérifiez les règles actuelles sans exposer publiquement le dossier privé d’un bénéficiaire.</w:t>
      </w:r>
    </w:p>
    <w:p>
      <w:pPr>
        <w:spacing w:after="140"/>
      </w:pPr>
      <w:r>
        <w:rPr>
          <w:sz w:val="24"/>
          <w:szCs w:val="24"/>
        </w:rPr>
        <w:t xml:space="preserve">Les portefeuilles économiques et un changement récent</w:t>
      </w:r>
    </w:p>
    <w:p>
      <w:pPr>
        <w:spacing w:after="140"/>
      </w:pPr>
      <w:r>
        <w:rPr>
          <w:sz w:val="24"/>
          <w:szCs w:val="24"/>
        </w:rPr>
        <w:t xml:space="preserve">Finances, économie, industrie, commerce, agriculture et énergie peuvent se croiser dans une même activité. Un exemple récent compte particulièrement : le décret 189 publié le 19 octobre 2026 nomme Basel Abdul Aziz Abdul Hannan ministre de l’Industrie, du Commerce intérieur et de la Protection des consommateurs. Utiliser uniquement la liste gouvernementale de mars 2025 manquerait cette évolution. Toutefois, le court acte de nomination ne détaille pas le transfert de chaque direction, organisme, salarié ou crédit budgétaire. [source]</w:t>
      </w:r>
    </w:p>
    <w:p>
      <w:pPr>
        <w:spacing w:after="140"/>
      </w:pPr>
      <w:r>
        <w:rPr>
          <w:sz w:val="24"/>
          <w:szCs w:val="24"/>
        </w:rPr>
        <w:t xml:space="preserve">Il faut distinguer la désignation d’un portefeuille de son organisation complète. Pour une demande commerciale, recherchez les instructions actuelles plutôt que de supposer que tous les services ont immédiatement déménagé ou cessé de fonctionner. Le domaine financier, industriel ou de protection du consommateur constitue une piste, pas une autorisation générale d’activité. Le service et les conditions dépendent du projet concret, de son lieu et des actes qui régissent maintenant la démarche.</w:t>
      </w:r>
    </w:p>
    <w:p>
      <w:pPr>
        <w:spacing w:after="140"/>
      </w:pPr>
      <w:r>
        <w:rPr>
          <w:sz w:val="24"/>
          <w:szCs w:val="24"/>
        </w:rPr>
        <w:t xml:space="preserve">Lire les autres domaines ministériels sans figer leur nombre</w:t>
      </w:r>
    </w:p>
    <w:p>
      <w:pPr>
        <w:spacing w:after="140"/>
      </w:pPr>
      <w:r>
        <w:rPr>
          <w:sz w:val="24"/>
          <w:szCs w:val="24"/>
        </w:rPr>
        <w:t xml:space="preserve">Noria à Hama, photographie d’archive de 2010 — Bernard Gagnon / Wikimedia Commons · CC BY-SA 3.0. Recadrage et redimensionnement ; ne prouve pas la situation actuelle.</w:t>
      </w:r>
    </w:p>
    <w:p>
      <w:pPr>
        <w:spacing w:after="140"/>
      </w:pPr>
      <w:r>
        <w:rPr>
          <w:sz w:val="24"/>
          <w:szCs w:val="24"/>
        </w:rPr>
        <w:t xml:space="preserve">Pour apprendre, on peut regrouper les domaines sans créer de nouveaux ministères. Intérieur, défense, affaires étrangères et justice concernent des fonctions souveraines et civiles distinctes. L’éducation et le social incluent enseignement scolaire, enseignement supérieur et recherche, santé, affaires sociales et travail, sport et jeunesse. Ces regroupements pédagogiques ne sont pas des autorités auxquelles adresser un dossier. Le service précis détermine l’institution de réception.</w:t>
      </w:r>
    </w:p>
    <w:p>
      <w:pPr>
        <w:spacing w:after="140"/>
      </w:pPr>
      <w:r>
        <w:rPr>
          <w:sz w:val="24"/>
          <w:szCs w:val="24"/>
        </w:rPr>
        <w:t xml:space="preserve">Les domaines économiques et d’infrastructure comprennent finances, affaires économiques, industrie et commerce selon le portefeuille récemment nommé, agriculture, énergie, transports, communications et technologies de l’information, travaux publics et logement. Administration locale et environnement, développement administratif, gestion des urgences et catastrophes, culture, tourisme, information et biens religieux ont également leurs sujets distincts. Ce panorama n’est ni un décompte définitif des ministères ni un calendrier de transferts. Vérifiez l’organisation récente lorsqu’une compétence évolue.</w:t>
      </w:r>
    </w:p>
    <w:p>
      <w:pPr>
        <w:spacing w:after="140"/>
      </w:pPr>
      <w:r>
        <w:rPr>
          <w:sz w:val="24"/>
          <w:szCs w:val="24"/>
        </w:rPr>
        <w:t xml:space="preserve">Organismes, universités et entreprises publiques</w:t>
      </w:r>
    </w:p>
    <w:p>
      <w:pPr>
        <w:spacing w:after="140"/>
      </w:pPr>
      <w:r>
        <w:rPr>
          <w:sz w:val="24"/>
          <w:szCs w:val="24"/>
        </w:rPr>
        <w:t xml:space="preserve">Le bon interlocuteur peut être une agence, une université, un établissement ou une entreprise publique avec sa propre loi. Ne la rebaptisez pas ministère parce qu’elle est importante et ne supposez pas que chaque employé puisse signer en son nom. Pour un contrat, vérifiez personnalité juridique, représentation et délégation requise. L’identification de la véritable partie contractante et de l’adresse de notification compte autant que le nom familier affiché au-dessus de la porte.</w:t>
      </w:r>
    </w:p>
    <w:p>
      <w:pPr>
        <w:spacing w:after="140"/>
      </w:pPr>
      <w:r>
        <w:rPr>
          <w:sz w:val="24"/>
          <w:szCs w:val="24"/>
        </w:rPr>
        <w:t xml:space="preserve">Pour un réseau, cherchez aussi l’opérateur</w:t>
      </w:r>
    </w:p>
    <w:p>
      <w:pPr>
        <w:spacing w:after="140"/>
      </w:pPr>
      <w:r>
        <w:rPr>
          <w:sz w:val="24"/>
          <w:szCs w:val="24"/>
        </w:rPr>
        <w:t xml:space="preserve">Eau, énergie, télécommunications, transport et travaux peuvent impliquer entreprises, établissements, directions et exploitants selon différents régimes. Identifiez le fournisseur et son canal de signalement vérifié. Une panne sous une rue ne rend pas automatiquement la municipalité exploitante du réseau. Une autre entité peut assurer la maintenance, avec une coordination locale pour la circulation, les travaux ou la sécurité. Un même lieu implique donc parfois plusieurs responsabilités distinctes.</w:t>
      </w:r>
    </w:p>
    <w:p>
      <w:pPr>
        <w:spacing w:after="140"/>
      </w:pPr>
      <w:r>
        <w:rPr>
          <w:sz w:val="24"/>
          <w:szCs w:val="24"/>
        </w:rPr>
        <w:t xml:space="preserve">Un signalement précis vaut mieux qu’un message envoyé à de nombreuses institutions. Indiquez le lieu nécessaire, le début du problème et sa nature sans divulguer de détails privés inutiles. Demandez un numéro de suivi s’il existe et notez vos relances. Ne transformez pas une estimation orale en garantie officielle de réparation. Distinguer exploitation, coordination et traitement des réclamations augmente la chance de toucher un interlocuteur capable d’agir.</w:t>
      </w:r>
    </w:p>
    <w:p>
      <w:pPr>
        <w:spacing w:after="140"/>
      </w:pPr>
      <w:r>
        <w:rPr>
          <w:sz w:val="24"/>
          <w:szCs w:val="24"/>
        </w:rPr>
        <w:t xml:space="preserve">Une autorisation locale ne remplace pas la propriété</w:t>
      </w:r>
    </w:p>
    <w:p>
      <w:pPr>
        <w:spacing w:after="140"/>
      </w:pPr>
      <w:r>
        <w:rPr>
          <w:sz w:val="24"/>
          <w:szCs w:val="24"/>
        </w:rPr>
        <w:t xml:space="preserve">L’administration locale peut traiter planification, espace public, services et permis dans son champ. Un permis de construire n’est pas un titre de propriété ; l’autorisation d’occuper n’établit pas la propriété du terrain ; payer une taxe ne remplace pas forcément une autre approbation technique. Avant d’aménager un local, distinguez votre droit d’utiliser le bien et la possibilité d’y exercer l’activité. Vérifiez les conditions avant d’engager des dépenses importantes.</w:t>
      </w:r>
    </w:p>
    <w:p>
      <w:pPr>
        <w:spacing w:after="140"/>
      </w:pPr>
      <w:r>
        <w:rPr>
          <w:sz w:val="24"/>
          <w:szCs w:val="24"/>
        </w:rPr>
        <w:t xml:space="preserve">En juin 2026, SANA a publié un communiqué annulant une circulaire qui bloquait certaines modifications de règles de construction, dans le cadre des compétences locales et de la loi 107. Cet exemple apprend à lire la portée d’un changement. Lever une restriction ne supprime pas toutes les conditions et n’autorise pas tout projet. Il faut examiner plan, réglementation et dossier particulier. Un titre sur une simplification ne doit pas devenir la promesse d’un droit absent du texte. [source]</w:t>
      </w:r>
    </w:p>
    <w:p>
      <w:pPr>
        <w:spacing w:after="140"/>
      </w:pPr>
      <w:r>
        <w:rPr>
          <w:sz w:val="24"/>
          <w:szCs w:val="24"/>
        </w:rPr>
        <w:t xml:space="preserve">Six questions avant le dépôt</w:t>
      </w:r>
    </w:p>
    <w:p>
      <w:pPr>
        <w:spacing w:after="140"/>
      </w:pPr>
      <w:r>
        <w:rPr>
          <w:sz w:val="24"/>
          <w:szCs w:val="24"/>
        </w:rPr>
        <w:t xml:space="preserve">Quel est exactement le service ? Où se situe son objet ? Qui reçoit la demande et qui émet la réponse ? Quelles pièces sont actuellement exigées ? Quel est le tarif officiel et comment prouver le paiement ? Comment suivre ou contester la décision ? Notez les réponses et la date de vérification. Si aucun guide n’est publié, demandez une clarification officielle que vous pourrez retrouver. Conservez les exigences correspondant à la version de la procédure utilisée.</w:t>
      </w:r>
    </w:p>
    <w:p>
      <w:pPr>
        <w:spacing w:after="140"/>
      </w:pPr>
      <w:r>
        <w:rPr>
          <w:sz w:val="24"/>
          <w:szCs w:val="24"/>
        </w:rPr>
        <w:t xml:space="preserve">Cela ne suppose pas des réponses immédiates ni une information parfaite partout. Il s’agit de constituer un dossier compréhensible. Lorsqu’une pièce nouvelle est demandée, faites préciser son nom et son lien avec le service. Distinguez dossier incomplet, mauvais interlocuteur et refus. Dire seulement que la démarche n’a pas marché ne révèle pas où elle s’est arrêtée. Une description exacte aide le demandeur et le service à identifier la prochaine action utile.</w:t>
      </w:r>
    </w:p>
    <w:p>
      <w:pPr>
        <w:spacing w:after="140"/>
      </w:pPr>
      <w:r>
        <w:rPr>
          <w:sz w:val="24"/>
          <w:szCs w:val="24"/>
        </w:rPr>
        <w:t xml:space="preserve">Réclamation, réexamen administratif et recours judiciaire</w:t>
      </w:r>
    </w:p>
    <w:p>
      <w:pPr>
        <w:spacing w:after="140"/>
      </w:pPr>
      <w:r>
        <w:rPr>
          <w:sz w:val="24"/>
          <w:szCs w:val="24"/>
        </w:rPr>
        <w:t xml:space="preserve">Une réclamation de service peut viser délai, comportement ou fonctionnement. Un réexamen administratif demande de revoir une décision selon les règles applicables. Un recours judiciaire suit une compétence et une procédure légales. Ces voies ne sont pas interchangeables et nous ne proposons pas un délai unique. Gardez la décision et sa notification, puis consultez assez tôt si des droits ou des sommes importantes sont en jeu. Une plainte en ligne ne doit pas être supposée suspendre un délai de recours.</w:t>
      </w:r>
    </w:p>
    <w:p>
      <w:pPr>
        <w:spacing w:after="140"/>
      </w:pPr>
      <w:r>
        <w:rPr>
          <w:sz w:val="24"/>
          <w:szCs w:val="24"/>
        </w:rPr>
        <w:t xml:space="preserve">Exposez faits, dates, institution et solution demandée. Joignez les éléments nécessaires sans divulguer les dossiers d’autrui. Distinguez observation, propos rapportés et déduction. Une demande de correction précise se traite plus facilement qu’une accusation sans décision identifiée. Ne payez pas une personne qui promet une approbation garantie en prenant cela pour un tarif officiel. Connaître la procédure ne donne pas le pouvoir de contourner ses conditions légales.</w:t>
      </w:r>
    </w:p>
    <w:p>
      <w:pPr>
        <w:spacing w:after="140"/>
      </w:pPr>
      <w:r>
        <w:rPr>
          <w:sz w:val="24"/>
          <w:szCs w:val="24"/>
        </w:rPr>
        <w:t xml:space="preserve">Une entreprise a besoin d’une carte des autorisations</w:t>
      </w:r>
    </w:p>
    <w:p>
      <w:pPr>
        <w:spacing w:after="140"/>
      </w:pPr>
      <w:r>
        <w:rPr>
          <w:sz w:val="24"/>
          <w:szCs w:val="24"/>
        </w:rPr>
        <w:t xml:space="preserve">Selon son activité et son lieu, un projet peut impliquer immatriculation, obligations financières, autorisation du local et exigences sectorielles. Ce n’est pas la même liste pour tous. Distinguez création et exploitation, qualifications personnelles et conditions du bâtiment. Dans un bail, précisez qui obtient les autorisations et ce qui se passe si elles sont refusées, avant de payer des équipements ou travaux difficiles à récupérer.</w:t>
      </w:r>
    </w:p>
    <w:p>
      <w:pPr>
        <w:spacing w:after="140"/>
      </w:pPr>
      <w:r>
        <w:rPr>
          <w:sz w:val="24"/>
          <w:szCs w:val="24"/>
        </w:rPr>
        <w:t xml:space="preserve">Si un guichet unique ou une plateforme est annoncé, vérifiez ce qu’il réunit réellement. Recevoir plusieurs demandes ne signifie pas forcément qu’une seule approbation remplace toutes les autres. Lisez le document délivré et la portée du service. L’annuaire indépendant de Bsouria peut aider à trouver des professionnels, mais une inscription ne constitue ni habilitation gouvernementale ni garantie de compétence. Vérifiez la qualité du prestataire et convenez des honoraires, livrables et limites du mandat.</w:t>
      </w:r>
    </w:p>
    <w:p>
      <w:pPr>
        <w:spacing w:after="140"/>
      </w:pPr>
      <w:r>
        <w:rPr>
          <w:sz w:val="24"/>
          <w:szCs w:val="24"/>
        </w:rPr>
        <w:t xml:space="preserve">Démarches numériques et suivi simple</w:t>
      </w:r>
    </w:p>
    <w:p>
      <w:pPr>
        <w:spacing w:after="140"/>
      </w:pPr>
      <w:r>
        <w:rPr>
          <w:sz w:val="24"/>
          <w:szCs w:val="24"/>
        </w:rPr>
        <w:t xml:space="preserve">Vérifiez le lien à partir d’un canal institutionnel fiable, pas seulement d’un logo. Ne partagez ni mots de passe ni codes de vérification avec un intermédiaire. En aidant un proche, expliquez ce qui sera transmis, à qui, et obtenez son accord approprié. Conservez seulement les copies nécessaires dans un endroit sûr. Après un échec technique, vérifiez l’état avant de payer à nouveau. Une page chargée n’est pas un dépôt réussi, et un accusé de réception n’est pas une approbation.</w:t>
      </w:r>
    </w:p>
    <w:p>
      <w:pPr>
        <w:spacing w:after="140"/>
      </w:pPr>
      <w:r>
        <w:rPr>
          <w:sz w:val="24"/>
          <w:szCs w:val="24"/>
        </w:rPr>
        <w:t xml:space="preserve">Tenez un bref registre : service, exigences vérifiées, destinataire, référence, pièces remises, paiements justifiés et prochaine étape. Distinguez réponse officielle et suggestion orale à confirmer. Dans une famille ou entreprise, désignez un suivi pour éviter les dépôts contradictoires et paiements répétés. Cette organisation ne garantit pas l’issue, mais réduit les erreurs évitables et rend une demande d’explication suffisamment précise pour recevoir une réponse utile.</w:t>
      </w:r>
    </w:p>
    <w:p>
      <w:pPr>
        <w:spacing w:after="140"/>
      </w:pPr>
      <w:r>
        <w:rPr>
          <w:sz w:val="24"/>
          <w:szCs w:val="24"/>
        </w:rPr>
        <w:t xml:space="preserve">Centralisation, décentralisation et délégation</w:t>
      </w:r>
    </w:p>
    <w:p>
      <w:pPr>
        <w:spacing w:after="140"/>
      </w:pPr>
      <w:r>
        <w:rPr>
          <w:sz w:val="24"/>
          <w:szCs w:val="24"/>
        </w:rPr>
        <w:t xml:space="preserve">La centralisation conserve la décision auprès d’une autorité centrale. La décentralisation attribue des compétences à des unités locales organisées par la loi ; la délégation autorise l’exercice d’un pouvoir précis dans des limites définies. Une division géographique ne prouve ni l’autonomie de décision ni les ressources disponibles. Une annonce de décentralisation ne démontre pas que chaque compétence a déjà été transférée. Il faut lire l’acte, sa portée et la responsabilité associée.</w:t>
      </w:r>
    </w:p>
    <w:p>
      <w:pPr>
        <w:spacing w:after="140"/>
      </w:pPr>
      <w:r>
        <w:rPr>
          <w:sz w:val="24"/>
          <w:szCs w:val="24"/>
        </w:rPr>
        <w:t xml:space="preserve">Le 20 octobre 2026, SANA a rapporté un exemple concernant le traitement et l’enquête de dossiers d’infractions de construction par des services de contrôle locaux, avec approbation des résultats et transmission au juge compétent. Le ministre a distingué cette délégation d’une régularisation ou d’une exemption de responsabilité. Raccourcir un circuit administratif n’est donc ni une amnistie ni la suppression des règles de construction. Le titre sur une simplification doit rester lié au pouvoir effectivement délégué. [source]</w:t>
      </w:r>
    </w:p>
    <w:p>
      <w:pPr>
        <w:spacing w:after="140"/>
      </w:pPr>
      <w:r>
        <w:rPr>
          <w:sz w:val="24"/>
          <w:szCs w:val="24"/>
        </w:rPr>
        <w:t xml:space="preserve">Questions fréquentes</w:t>
      </w:r>
    </w:p>
    <w:p>
      <w:pPr>
        <w:spacing w:after="140"/>
      </w:pPr>
      <w:r>
        <w:rPr>
          <w:sz w:val="24"/>
          <w:szCs w:val="24"/>
        </w:rPr>
        <w:t xml:space="preserve">Combien existe-t-il de gouvernorats ?</w:t>
      </w:r>
    </w:p>
    <w:p>
      <w:pPr>
        <w:spacing w:after="140"/>
      </w:pPr>
      <w:r>
        <w:rPr>
          <w:sz w:val="24"/>
          <w:szCs w:val="24"/>
        </w:rPr>
        <w:t xml:space="preserve">La carte administrative établie compte quatorze gouvernorats, cités dans l’article. Ce nombre ne décrit pas l’accès actuel à chaque bureau. Vérifiez le siège et le canal du service dont vous avez besoin.</w:t>
      </w:r>
    </w:p>
    <w:p>
      <w:pPr>
        <w:spacing w:after="140"/>
      </w:pPr>
      <w:r>
        <w:rPr>
          <w:sz w:val="24"/>
          <w:szCs w:val="24"/>
        </w:rPr>
        <w:t xml:space="preserve">Damas et Rif Dimachq sont-ils un seul gouvernorat ?</w:t>
      </w:r>
    </w:p>
    <w:p>
      <w:pPr>
        <w:spacing w:after="140"/>
      </w:pPr>
      <w:r>
        <w:rPr>
          <w:sz w:val="24"/>
          <w:szCs w:val="24"/>
        </w:rPr>
        <w:t xml:space="preserve">Non. Ce sont deux gouvernorats. Distinguez également une ville du territoire plus large portant le même nom. Dans un dossier ou contrat, utilisez la localisation formelle et les références requises plutôt qu’un nom de ville voisine.</w:t>
      </w:r>
    </w:p>
    <w:p>
      <w:pPr>
        <w:spacing w:after="140"/>
      </w:pPr>
      <w:r>
        <w:rPr>
          <w:sz w:val="24"/>
          <w:szCs w:val="24"/>
        </w:rPr>
        <w:t xml:space="preserve">District et municipalité sont-ils synonymes ?</w:t>
      </w:r>
    </w:p>
    <w:p>
      <w:pPr>
        <w:spacing w:after="140"/>
      </w:pPr>
      <w:r>
        <w:rPr>
          <w:sz w:val="24"/>
          <w:szCs w:val="24"/>
        </w:rPr>
        <w:t xml:space="preserve">Non. Ils décrivent des subdivisions ou unités différentes. Chaque adresse ne suit pas tous les niveaux de manière identique. Utilisez les données pertinentes et n’inventez pas une valeur pour satisfaire une case du formulaire.</w:t>
      </w:r>
    </w:p>
    <w:p>
      <w:pPr>
        <w:spacing w:after="140"/>
      </w:pPr>
      <w:r>
        <w:rPr>
          <w:sz w:val="24"/>
          <w:szCs w:val="24"/>
        </w:rPr>
        <w:t xml:space="preserve">Les noms et le nombre des ministères sont-ils fixes ?</w:t>
      </w:r>
    </w:p>
    <w:p>
      <w:pPr>
        <w:spacing w:after="140"/>
      </w:pPr>
      <w:r>
        <w:rPr>
          <w:sz w:val="24"/>
          <w:szCs w:val="24"/>
        </w:rPr>
        <w:t xml:space="preserve">Non. Nominations et réorganisations peuvent évoluer, comme le portefeuille de l’industrie, du commerce intérieur et de la protection des consommateurs nommé en octobre 2026. Le nouveau titre ne décrit pas le transfert de tous les services.</w:t>
      </w:r>
    </w:p>
    <w:p>
      <w:pPr>
        <w:spacing w:after="140"/>
      </w:pPr>
      <w:r>
        <w:rPr>
          <w:sz w:val="24"/>
          <w:szCs w:val="24"/>
        </w:rPr>
        <w:t xml:space="preserve">Faut-il commencer au ministère ou localement ?</w:t>
      </w:r>
    </w:p>
    <w:p>
      <w:pPr>
        <w:spacing w:after="140"/>
      </w:pPr>
      <w:r>
        <w:rPr>
          <w:sz w:val="24"/>
          <w:szCs w:val="24"/>
        </w:rPr>
        <w:t xml:space="preserve">Consultez le guide actuel ou demandez officiellement qui reçoit et qui décide. Certains services sont locaux ou délégués, d’autres centraux ou confiés à un organisme distinct. Aucun de ces intitulés ne suffit à déterminer toute la procédure.</w:t>
      </w:r>
    </w:p>
    <w:p>
      <w:pPr>
        <w:spacing w:after="140"/>
      </w:pPr>
      <w:r>
        <w:rPr>
          <w:sz w:val="24"/>
          <w:szCs w:val="24"/>
        </w:rPr>
        <w:t xml:space="preserve">Une réclamation électronique vaut-elle approbation ?</w:t>
      </w:r>
    </w:p>
    <w:p>
      <w:pPr>
        <w:spacing w:after="140"/>
      </w:pPr>
      <w:r>
        <w:rPr>
          <w:sz w:val="24"/>
          <w:szCs w:val="24"/>
        </w:rPr>
        <w:t xml:space="preserve">Non. Une confirmation prouve seulement l’étape qu’elle décrit. Gardez sa date et sa référence, puis suivez l’issue par le canal indiqué. Ne supposez pas qu’une réclamation remplace le recours approprié lorsqu’un délai juridique existe.</w:t>
      </w:r>
    </w:p>
    <w:p>
      <w:pPr>
        <w:spacing w:after="140"/>
      </w:pPr>
      <w:r>
        <w:rPr>
          <w:sz w:val="24"/>
          <w:szCs w:val="24"/>
        </w:rPr>
        <w:t xml:space="preserve">Sources et lectures complémentaires</w:t>
      </w:r>
    </w:p>
    <w:p>
      <w:pPr>
        <w:spacing w:after="140"/>
      </w:pPr>
      <w:r>
        <w:rPr>
          <w:sz w:val="24"/>
          <w:szCs w:val="24"/>
        </w:rPr>
        <w:t xml:space="preserve">Local Administration Law 107 of 2011, reproduced legal text, notably Articles 1, 7 and 73</w:t>
      </w:r>
    </w:p>
    <w:p>
      <w:pPr>
        <w:spacing w:after="140"/>
      </w:pPr>
      <w:r>
        <w:rPr>
          <w:sz w:val="24"/>
          <w:szCs w:val="24"/>
        </w:rPr>
        <w:t xml:space="preserve">Presidency statement / SANA — Building-regulation circular, 1 June 2026</w:t>
      </w:r>
    </w:p>
    <w:p>
      <w:pPr>
        <w:spacing w:after="140"/>
      </w:pPr>
      <w:r>
        <w:rPr>
          <w:sz w:val="24"/>
          <w:szCs w:val="24"/>
        </w:rPr>
        <w:t xml:space="preserve">Ministry statement / SANA — Review of local-administration legislation, 6 July 2026</w:t>
      </w:r>
    </w:p>
    <w:p>
      <w:pPr>
        <w:spacing w:after="140"/>
      </w:pPr>
      <w:r>
        <w:rPr>
          <w:sz w:val="24"/>
          <w:szCs w:val="24"/>
        </w:rPr>
        <w:t xml:space="preserve">Ministry / SANA — Delegation is not regularisation of building violations, 20 October 2026</w:t>
      </w:r>
    </w:p>
    <w:p>
      <w:pPr>
        <w:spacing w:after="140"/>
      </w:pPr>
      <w:r>
        <w:rPr>
          <w:sz w:val="24"/>
          <w:szCs w:val="24"/>
        </w:rPr>
        <w:t xml:space="preserve">Presidency / SANA — Industry, internal trade and consumer protection appointment, 19 October 2026</w:t>
      </w:r>
    </w:p>
    <w:p>
      <w:pPr>
        <w:spacing w:after="140"/>
      </w:pPr>
      <w:r>
        <w:rPr>
          <w:sz w:val="24"/>
          <w:szCs w:val="24"/>
        </w:rPr>
        <w:t xml:space="preserve">SANA — Governorate directory and local reporting</w:t>
      </w:r>
    </w:p>
    <w:p>
      <w:pPr>
        <w:spacing w:after="140"/>
      </w:pPr>
      <w:r>
        <w:rPr>
          <w:sz w:val="24"/>
          <w:szCs w:val="24"/>
        </w:rPr>
        <w:t xml:space="preserve">Digital Syria — Public-sector digital project directory; project announcements are not proof of complete rollout</w:t>
      </w:r>
    </w:p>
    <w:p>
      <w:pPr>
        <w:spacing w:after="140"/>
      </w:pPr>
      <w:r>
        <w:rPr>
          <w:sz w:val="24"/>
          <w:szCs w:val="24"/>
        </w:rPr>
        <w:t xml:space="preserve">Explorer Bsouria</w:t>
      </w:r>
    </w:p>
    <w:p>
      <w:pPr>
        <w:spacing w:after="140"/>
      </w:pPr>
      <w:r>
        <w:rPr>
          <w:sz w:val="24"/>
          <w:szCs w:val="24"/>
        </w:rPr>
        <w:t xml:space="preserve">Opportunités commerciales · Annuaire des entreprises · Article complémentaire</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Vue panoramique de Damas, photographie d’archive de 2008 — Vyacheslav Argenberg / Wikimedia Commons · CC BY 4.0. Recadrage et redimensionnement ; ne prouve pas la situation actuelle.</w:t>
      </w:r>
    </w:p>
    <w:p>
      <w:pPr>
        <w:spacing w:after="140"/>
      </w:pPr>
      <w:r>
        <w:rPr>
          <w:sz w:val="24"/>
          <w:szCs w:val="24"/>
        </w:rPr>
        <w:t xml:space="preserve">Noria à Hama, photographie d’archive de 2010 — Bernard Gagnon / Wikimedia Commons · CC BY-SA 3.0. Recadrage et redimensionnement ; ne prouve pas la situation actuelle.</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Du ministère à la municipalité : la carte administrative syrienne pour les citoyens et les entreprises</dc:title>
  <dc:creator>Bsouria</dc:creator>
  <cp:lastModifiedBy>Bsouria</cp:lastModifiedBy>
  <dcterms:created xsi:type="dcterms:W3CDTF">2026-10-30T16:50:56Z</dcterms:created>
</cp:coreProperties>
</file>