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Qui gouverne la Syrie ? Comprendre la présidence, le gouvernement, le Parlement et la justice</w:t>
      </w:r>
    </w:p>
    <w:p>
      <w:pPr/>
      <w:r>
        <w:rPr>
          <w:i/>
          <w:color w:val="64736B"/>
        </w:rPr>
        <w:t>Bsouria · 2026-10-23</w:t>
      </w:r>
    </w:p>
    <w:p>
      <w:pPr>
        <w:spacing w:after="220"/>
      </w:pPr>
      <w:r>
        <w:rPr>
          <w:i/>
        </w:rPr>
        <w:t>Comprendre le cadre transitoire syrien : présidence, gouvernement, Assemblée du peuple et justice, leurs fonctions et la différence entre texte et pratique.</w:t>
      </w:r>
    </w:p>
    <w:p>
      <w:pPr>
        <w:spacing w:after="140"/>
      </w:pPr>
      <w:r>
        <w:rPr>
          <w:sz w:val="24"/>
          <w:szCs w:val="24"/>
        </w:rPr>
        <w:t xml:space="preserve">Parlement syrien, 1950–1955 ; photographie historique — Unknown author / Wikimedia Commons · Public domain. Recadrage et redimensionnement ; ne prouve pas la situation actuelle.</w:t>
      </w:r>
    </w:p>
    <w:p>
      <w:pPr>
        <w:spacing w:after="140"/>
      </w:pPr>
      <w:r>
        <w:rPr>
          <w:sz w:val="24"/>
          <w:szCs w:val="24"/>
        </w:rPr>
        <w:t xml:space="preserve">Révision éditoriale et sources : 23 octobre 2026. Guide civique général distinguant texte et application ; vérifiez les procédures actuelles pour chaque dossier.</w:t>
      </w:r>
    </w:p>
    <w:p>
      <w:pPr>
        <w:spacing w:after="140"/>
      </w:pPr>
      <w:r>
        <w:rPr>
          <w:sz w:val="24"/>
          <w:szCs w:val="24"/>
        </w:rPr>
        <w:t xml:space="preserve">Une loi nouvelle, une annonce ministérielle et un jugement peuvent se suivre dans le même fil d’actualité. Tous concernent l’État, mais ils ne viennent pas de la même institution et ne produisent pas les mêmes effets. Qui fixe une règle ? Qui la met en œuvre ? Qui examine un litige ? Ces questions servent à une famille qui suit un dossier, à un commerçant qui prépare un contrat et à un étudiant qui veut comprendre la vie publique.</w:t>
      </w:r>
    </w:p>
    <w:p>
      <w:pPr>
        <w:spacing w:after="140"/>
      </w:pPr>
      <w:r>
        <w:rPr>
          <w:sz w:val="24"/>
          <w:szCs w:val="24"/>
        </w:rPr>
        <w:t xml:space="preserve">Ce guide, revu le 23 octobre 2026, explique le cadre transitoire fondé sur la Déclaration constitutionnelle du 13 mars 2025 et des évolutions institutionnelles ultérieures. Il ne présente pas la Constitution de 2012 comme le système actuel et ne confond pas déclaration transitoire et constitution permanente. Il distingue aussi une garantie écrite de sa réalisation : créer une institution ou proclamer son indépendance ne démontre pas, à lui seul, la qualité de toutes ses décisions.</w:t>
      </w:r>
    </w:p>
    <w:p>
      <w:pPr>
        <w:spacing w:after="140"/>
      </w:pPr>
      <w:r>
        <w:rPr>
          <w:sz w:val="24"/>
          <w:szCs w:val="24"/>
        </w:rPr>
        <w:t xml:space="preserve">FonctionInstitution dans le cadre transitoireLégislationAssemblée du peuple : règles générales, budget et compétences attribuéesExécutionPrésident et ministres : administration et mise en œuvre dans le cadre des textesJugementJustice : compétences et voies de recours fixées par la loi</w:t>
      </w:r>
    </w:p>
    <w:p>
      <w:pPr>
        <w:spacing w:after="140"/>
      </w:pPr>
      <w:r>
        <w:rPr>
          <w:sz w:val="24"/>
          <w:szCs w:val="24"/>
        </w:rPr>
        <w:t xml:space="preserve">Une transition possède un cadre et plusieurs calendriers</w:t>
      </w:r>
    </w:p>
    <w:p>
      <w:pPr>
        <w:spacing w:after="140"/>
      </w:pPr>
      <w:r>
        <w:rPr>
          <w:sz w:val="24"/>
          <w:szCs w:val="24"/>
        </w:rPr>
        <w:t xml:space="preserve">La déclaration prévoit une période transitoire de cinq années à compter de son entrée en vigueur, avec une constitution permanente et des élections conformément à celle-ci. Le mandat de l’Assemblée du peuple est distinct : trente mois, renouvelables. Ces durées correspondent à des objets différents. On ne peut pas les additionner, ni en déduire une date automatique pour toute élection, réforme administrative ou démarche individuelle sans consulter les textes et décisions qui précisent leur application.</w:t>
      </w:r>
    </w:p>
    <w:p>
      <w:pPr>
        <w:spacing w:after="140"/>
      </w:pPr>
      <w:r>
        <w:rPr>
          <w:sz w:val="24"/>
          <w:szCs w:val="24"/>
        </w:rPr>
        <w:t xml:space="preserve">Pendant une transition, des lois antérieures peuvent continuer à s’appliquer alors que des institutions changent. La déclaration maintient les textes en vigueur tant qu’ils ne sont pas modifiés ou abrogés. Une ancienne date ne suffit donc pas à rendre une règle caduque, tandis qu’une annonce récente ne constitue pas nécessairement une modification juridique. Cherchez le numéro, la date, l’auteur et les dispositions opératoires du document, puis les actes ultérieurs qui pourraient le modifier.</w:t>
      </w:r>
    </w:p>
    <w:p>
      <w:pPr>
        <w:spacing w:after="140"/>
      </w:pPr>
      <w:r>
        <w:rPr>
          <w:sz w:val="24"/>
          <w:szCs w:val="24"/>
        </w:rPr>
        <w:t xml:space="preserve">Trois fonctions pour comprendre la répartition des pouvoirs</w:t>
      </w:r>
    </w:p>
    <w:p>
      <w:pPr>
        <w:spacing w:after="140"/>
      </w:pPr>
      <w:r>
        <w:rPr>
          <w:sz w:val="24"/>
          <w:szCs w:val="24"/>
        </w:rPr>
        <w:t xml:space="preserve">La fonction législative établit des règles générales. L’exécutif applique les lois et administre les affaires publiques. La justice tranche les questions relevant de ses compétences. Dans le cadre transitoire, l’Assemblée du peuple exerce le pouvoir législatif, le président et les ministres exercent le pouvoir exécutif, et la déclaration affirme l’indépendance du pouvoir judiciaire. C’est une carte de lecture, pas l’image de trois institutions qui ne se rencontrent jamais.</w:t>
      </w:r>
    </w:p>
    <w:p>
      <w:pPr>
        <w:spacing w:after="140"/>
      </w:pPr>
      <w:r>
        <w:rPr>
          <w:sz w:val="24"/>
          <w:szCs w:val="24"/>
        </w:rPr>
        <w:t xml:space="preserve">Les nominations, les propositions de loi, le budget, la promulgation et le contrôle créent des relations entre ces pouvoirs. Il faut les montrer : le président nomme les ministres, désigne un tiers de l’Assemblée et nomme les membres de la Cour constitutionnelle suprême selon la déclaration. Exposer ces liens permet de comprendre la distribution de l’autorité. Cela ne suffit pas à apprécier l’efficacité réelle des garanties, qui demande aussi des informations sur les procédures et la pratique.</w:t>
      </w:r>
    </w:p>
    <w:p>
      <w:pPr>
        <w:spacing w:after="140"/>
      </w:pPr>
      <w:r>
        <w:rPr>
          <w:sz w:val="24"/>
          <w:szCs w:val="24"/>
        </w:rPr>
        <w:t xml:space="preserve">La place du citoyen dans cette carte</w:t>
      </w:r>
    </w:p>
    <w:p>
      <w:pPr>
        <w:spacing w:after="140"/>
      </w:pPr>
      <w:r>
        <w:rPr>
          <w:sz w:val="24"/>
          <w:szCs w:val="24"/>
        </w:rPr>
        <w:t xml:space="preserve">Le système touche le travail, l’éducation, la propriété, les taxes, les autorisations et le recours à la justice. Il n’est pas nécessaire de mémoriser chaque article pour commencer. Demandez quelle institution agit, quel document elle utilise, ce qui fonde sa compétence, quand la mesure s’applique et comment elle peut être réexaminée. Ces questions relient la connaissance civique à une démarche concrète et évitent de demander à une institution politique de délivrer un document qui relève d’un service administratif.</w:t>
      </w:r>
    </w:p>
    <w:p>
      <w:pPr>
        <w:spacing w:after="140"/>
      </w:pPr>
      <w:r>
        <w:rPr>
          <w:sz w:val="24"/>
          <w:szCs w:val="24"/>
        </w:rPr>
        <w:t xml:space="preserve">La présidence au sein de l’exécutif</w:t>
      </w:r>
    </w:p>
    <w:p>
      <w:pPr>
        <w:spacing w:after="140"/>
      </w:pPr>
      <w:r>
        <w:rPr>
          <w:sz w:val="24"/>
          <w:szCs w:val="24"/>
        </w:rPr>
        <w:t xml:space="preserve">Schéma des trois fonctions publiques du cadre transitoire</w:t>
      </w:r>
    </w:p>
    <w:p>
      <w:pPr>
        <w:spacing w:after="140"/>
      </w:pPr>
      <w:r>
        <w:rPr>
          <w:sz w:val="24"/>
          <w:szCs w:val="24"/>
        </w:rPr>
        <w:t xml:space="preserve">À la date de révision, Ahmad al-Charaa exerce la présidence. La déclaration confie à la présidence des responsabilités importantes dans la conduite du pays et la représentation de l’État, notamment la nomination et la révocation des ministres. Le président peut proposer des lois et promulgue les textes adoptés par l’Assemblée, avec une procédure d’objection et de nouvel examen. Réduire ce rôle à la simple exécution d’instructions serait incomplet. Mais un entretien, une réunion ou une déclaration d’intention n’est pas, par sa seule existence, une loi.</w:t>
      </w:r>
    </w:p>
    <w:p>
      <w:pPr>
        <w:spacing w:after="140"/>
      </w:pPr>
      <w:r>
        <w:rPr>
          <w:sz w:val="24"/>
          <w:szCs w:val="24"/>
        </w:rPr>
        <w:t xml:space="preserve">Dans une actualité présidentielle, identifiez l’acte : nommer un responsable diffère de publier un règlement ; signer un traité diffère d’annoncer un projet de coopération. N’appelez pas tout communiqué un décret. Lisez le texte qui établit effectivement la décision, son fondement et sa portée. Une photographie peut montrer des participants à une réunion ; elle ne démontre pas les engagements financiers, les autorisations ou la date d’effet que le lecteur serait tenté d’imaginer.</w:t>
      </w:r>
    </w:p>
    <w:p>
      <w:pPr>
        <w:spacing w:after="140"/>
      </w:pPr>
      <w:r>
        <w:rPr>
          <w:sz w:val="24"/>
          <w:szCs w:val="24"/>
        </w:rPr>
        <w:t xml:space="preserve">Que devient la référence au Premier ministre ?</w:t>
      </w:r>
    </w:p>
    <w:p>
      <w:pPr>
        <w:spacing w:after="140"/>
      </w:pPr>
      <w:r>
        <w:rPr>
          <w:sz w:val="24"/>
          <w:szCs w:val="24"/>
        </w:rPr>
        <w:t xml:space="preserve">La déclaration actuelle organise l’exécutif autour du président et des ministres ; elle n’établit pas le dispositif du Premier ministre connu sous la Constitution de 2012. Cette différence compte quand un ancien texte mentionne le président du Conseil des ministres. Ne remplacez pas silencieusement ce titre par une institution actuelle. Pour une approbation, une nomination ou un contrat précis, il faut vérifier les actes postérieurs et délégations qui règlent la compétence concernée.</w:t>
      </w:r>
    </w:p>
    <w:p>
      <w:pPr>
        <w:spacing w:after="140"/>
      </w:pPr>
      <w:r>
        <w:rPr>
          <w:sz w:val="24"/>
          <w:szCs w:val="24"/>
        </w:rPr>
        <w:t xml:space="preserve">Les ministères transforment les orientations en administration</w:t>
      </w:r>
    </w:p>
    <w:p>
      <w:pPr>
        <w:spacing w:after="140"/>
      </w:pPr>
      <w:r>
        <w:rPr>
          <w:sz w:val="24"/>
          <w:szCs w:val="24"/>
        </w:rPr>
        <w:t xml:space="preserve">Un ministère intervient dans un secteur avec des fonctions, moyens et organismes définis par son organisation juridique. Chaque document n’exige pas la signature du ministre et chaque service n’est pas disponible au siège central. Une direction territoriale, un établissement public ou un centre d’accueil peut être le bon point de départ. L’article complémentaire détaille cette carte administrative sans supposer qu’une chaîne identique s’applique à tous les secteurs.</w:t>
      </w:r>
    </w:p>
    <w:p>
      <w:pPr>
        <w:spacing w:after="140"/>
      </w:pPr>
      <w:r>
        <w:rPr>
          <w:sz w:val="24"/>
          <w:szCs w:val="24"/>
        </w:rPr>
        <w:t xml:space="preserve">Il faut distinguer une orientation d’une réalisation. Promettre d’améliorer un service ne prouve pas que chaque commune dispose d’un financement, d’un marché attribué et d’un calendrier de travaux. L’exécution peut demander du personnel, des achats et une coordination. Une question publique utile désigne le projet, le responsable et les étapes publiées. Elle permet de discuter de résultats vérifiables plutôt que de traiter une ambition générale comme la preuve d’un chantier déjà engagé partout.</w:t>
      </w:r>
    </w:p>
    <w:p>
      <w:pPr>
        <w:spacing w:after="140"/>
      </w:pPr>
      <w:r>
        <w:rPr>
          <w:sz w:val="24"/>
          <w:szCs w:val="24"/>
        </w:rPr>
        <w:t xml:space="preserve">L’Assemblée du peuple : légiférer plutôt que gérer un guichet</w:t>
      </w:r>
    </w:p>
    <w:p>
      <w:pPr>
        <w:spacing w:after="140"/>
      </w:pPr>
      <w:r>
        <w:rPr>
          <w:sz w:val="24"/>
          <w:szCs w:val="24"/>
        </w:rPr>
        <w:t xml:space="preserve">L’article 30 prévoit notamment la proposition et l’adoption des lois, la modification ou l’abrogation de textes antérieurs, l’approbation du budget et de l’amnistie générale, la ratification des traités et des auditions de ministres. Ce travail diffère du traitement d’une demande administrative ou du jugement d’un litige privé. Un membre peut porter un problème général dans l’activité parlementaire, mais ne devient pas pour autant directeur d’un service de permis ou juge d’un différend immobilier. [source]</w:t>
      </w:r>
    </w:p>
    <w:p>
      <w:pPr>
        <w:spacing w:after="140"/>
      </w:pPr>
      <w:r>
        <w:rPr>
          <w:sz w:val="24"/>
          <w:szCs w:val="24"/>
        </w:rPr>
        <w:t xml:space="preserve">Le 12 juillet 2026, SANA a rendu compte de la première séance de l’Assemblée, du serment de ses membres et de l’élection d’Abdul Hamid al-Awak à sa présidence. Il serait donc dépassé de la décrire uniquement comme une institution future. Distinguez toutefois le nombre indiqué dans un compte rendu de séance du nombre de sièges prévu par les règles électorales. Un chiffre exige sa date et sa définition : sièges prévus, sièges pourvus et présence ne désignent pas la même chose. [source]</w:t>
      </w:r>
    </w:p>
    <w:p>
      <w:pPr>
        <w:spacing w:after="140"/>
      </w:pPr>
      <w:r>
        <w:rPr>
          <w:sz w:val="24"/>
          <w:szCs w:val="24"/>
        </w:rPr>
        <w:t xml:space="preserve">Comment l’Assemblée transitoire a-t-elle été constituée ?</w:t>
      </w:r>
    </w:p>
    <w:p>
      <w:pPr>
        <w:spacing w:after="140"/>
      </w:pPr>
      <w:r>
        <w:rPr>
          <w:sz w:val="24"/>
          <w:szCs w:val="24"/>
        </w:rPr>
        <w:t xml:space="preserve">L’article 24 prévoit un comité supérieur supervisant des corps électoraux subsidiaires qui choisissent deux tiers des membres ; le président désigne le tiers restant. Présenter l’ensemble comme une élection populaire directe de tous les citoyens serait inexact. Dire que tous les membres ont été nommés de manière identique le serait aussi. Pour étudier une circonscription, un membre ou une étape donnée, consultez le système électoral temporaire et les décisions datées correspondantes. [source]</w:t>
      </w:r>
    </w:p>
    <w:p>
      <w:pPr>
        <w:spacing w:after="140"/>
      </w:pPr>
      <w:r>
        <w:rPr>
          <w:sz w:val="24"/>
          <w:szCs w:val="24"/>
        </w:rPr>
        <w:t xml:space="preserve">Du projet à la règle applicable</w:t>
      </w:r>
    </w:p>
    <w:p>
      <w:pPr>
        <w:spacing w:after="140"/>
      </w:pPr>
      <w:r>
        <w:rPr>
          <w:sz w:val="24"/>
          <w:szCs w:val="24"/>
        </w:rPr>
        <w:t xml:space="preserve">Parcours simplifié d’un projet jusqu’à la publication et l’entrée en vigueur</w:t>
      </w:r>
    </w:p>
    <w:p>
      <w:pPr>
        <w:spacing w:after="140"/>
      </w:pPr>
      <w:r>
        <w:rPr>
          <w:sz w:val="24"/>
          <w:szCs w:val="24"/>
        </w:rPr>
        <w:t xml:space="preserve">Le parcours simplifié comprend une proposition, son examen et son adoption selon les procédures, puis la promulgation, la publication et l’entrée en vigueur prévues par le texte. Le président dispose du droit de proposer des lois ; l’exécutif prépare des projets ; l’Assemblée exerce ses fonctions législatives. L’article 39 organise la promulgation et l’objection présidentielle, avec un nouvel examen parlementaire. Une discussion ne devient pas automatiquement une obligation applicable le jour même. [source]</w:t>
      </w:r>
    </w:p>
    <w:p>
      <w:pPr>
        <w:spacing w:after="140"/>
      </w:pPr>
      <w:r>
        <w:rPr>
          <w:sz w:val="24"/>
          <w:szCs w:val="24"/>
        </w:rPr>
        <w:t xml:space="preserve">Si une réforme concerne votre profession, recherchez la version définitive. Un projet antérieur peut avoir changé et l’application peut dépendre de dispositions transitoires ou d’instructions ultérieures. Étudier une abrogation n’est pas l’avoir prononcée. Une approbation à une étape du parcours ne précise pas nécessairement toutes les démarches administratives qui suivront. Suivez le document jusqu’à son contenu final et sa date d’effet avant de prendre un engagement commercial sur cette base.</w:t>
      </w:r>
    </w:p>
    <w:p>
      <w:pPr>
        <w:spacing w:after="140"/>
      </w:pPr>
      <w:r>
        <w:rPr>
          <w:sz w:val="24"/>
          <w:szCs w:val="24"/>
        </w:rPr>
        <w:t xml:space="preserve">Loi, décret, décision et circulaire</w:t>
      </w:r>
    </w:p>
    <w:p>
      <w:pPr>
        <w:spacing w:after="140"/>
      </w:pPr>
      <w:r>
        <w:rPr>
          <w:sz w:val="24"/>
          <w:szCs w:val="24"/>
        </w:rPr>
        <w:t xml:space="preserve">Ces intitulés ne correspondent pas à des instruments identiques. Le titre d’une circulaire ne prouve pas qu’elle puisse modifier une loi ; un cachet ne confère pas une compétence absente du mandat de son auteur. Examinez l’autorité, le fondement et le champ du document, ainsi que son rapport avec les règles supérieures. Un tableau pédagogique ne résout pas un véritable conflit de normes dans un dossier personnel. Pour un enjeu important, faites examiner les textes complets par un professionnel compétent.</w:t>
      </w:r>
    </w:p>
    <w:p>
      <w:pPr>
        <w:spacing w:after="140"/>
      </w:pPr>
      <w:r>
        <w:rPr>
          <w:sz w:val="24"/>
          <w:szCs w:val="24"/>
        </w:rPr>
        <w:t xml:space="preserve">Le budget relie les intentions aux ressources</w:t>
      </w:r>
    </w:p>
    <w:p>
      <w:pPr>
        <w:spacing w:after="140"/>
      </w:pPr>
      <w:r>
        <w:rPr>
          <w:sz w:val="24"/>
          <w:szCs w:val="24"/>
        </w:rPr>
        <w:t xml:space="preserve">Un secteur peut être déclaré prioritaire avant qu’un projet précis ne bénéficie d’un crédit. Un budget approuvé ne démontre pas non plus que la somme a été versée ou que les travaux sont terminés. Séparez les annonces, les allocations, les contrats et les réalisations. Le débat public gagne alors des questions auxquelles on peut répondre : quel projet, quelle institution, quelle étape et quelle information publiée ? Une promesse large ne désigne pas toujours un responsable opérationnel précis.</w:t>
      </w:r>
    </w:p>
    <w:p>
      <w:pPr>
        <w:spacing w:after="140"/>
      </w:pPr>
      <w:r>
        <w:rPr>
          <w:sz w:val="24"/>
          <w:szCs w:val="24"/>
        </w:rPr>
        <w:t xml:space="preserve">Pour une entreprise, l’annonce officielle d’un projet n’est ni une commande ni une promesse de paiement à son profit. Il faut un avis de marché, une demande autorisée ou un instrument approprié, puis vérifier attribution et règlement. Un intermédiaire peut utiliser une véritable actualité gouvernementale pour proposer une offre privée sans lien établi. Le nom d’une institution dans un message ne prouve pas que l’expéditeur soit habilité à conclure un contrat pour elle.</w:t>
      </w:r>
    </w:p>
    <w:p>
      <w:pPr>
        <w:spacing w:after="140"/>
      </w:pPr>
      <w:r>
        <w:rPr>
          <w:sz w:val="24"/>
          <w:szCs w:val="24"/>
        </w:rPr>
        <w:t xml:space="preserve">La justice et l’administration du ministère ne se confondent pas</w:t>
      </w:r>
    </w:p>
    <w:p>
      <w:pPr>
        <w:spacing w:after="140"/>
      </w:pPr>
      <w:r>
        <w:rPr>
          <w:sz w:val="24"/>
          <w:szCs w:val="24"/>
        </w:rPr>
        <w:t xml:space="preserve">La déclaration affirme l’indépendance de la justice et attribue au Conseil supérieur de la magistrature un rôle dans son bon fonctionnement et le respect de cette indépendance. Une lettre au ministre ne remplace pas pour autant une procédure juridictionnelle. Il faut distinguer retard de service, demande en justice, recours contre un jugement et plainte concernant un comportement professionnel. Les destinataires, conditions et conséquences peuvent être différents.</w:t>
      </w:r>
    </w:p>
    <w:p>
      <w:pPr>
        <w:spacing w:after="140"/>
      </w:pPr>
      <w:r>
        <w:rPr>
          <w:sz w:val="24"/>
          <w:szCs w:val="24"/>
        </w:rPr>
        <w:t xml:space="preserve">Le ministère de la Justice n’est pas un autre nom pour les tribunaux et le ministre n’est pas une cour d’appel. Administrer un secteur diffère de juger une affaire. De même, l’administration chargée des affaires de l’État, mentionnée dans la déclaration, ne doit pas être présentée comme un avocat personnel gratuit pour chacun en raison de son seul nom. Sa loi fixe son rôle. Cette distinction évite des attentes erronées et des délais perdus dans un dossier sensible.</w:t>
      </w:r>
    </w:p>
    <w:p>
      <w:pPr>
        <w:spacing w:after="140"/>
      </w:pPr>
      <w:r>
        <w:rPr>
          <w:sz w:val="24"/>
          <w:szCs w:val="24"/>
        </w:rPr>
        <w:t xml:space="preserve">Justice ordinaire et justice administrative</w:t>
      </w:r>
    </w:p>
    <w:p>
      <w:pPr>
        <w:spacing w:after="140"/>
      </w:pPr>
      <w:r>
        <w:rPr>
          <w:sz w:val="24"/>
          <w:szCs w:val="24"/>
        </w:rPr>
        <w:t xml:space="preserve">Salle du parlement syrien en 1955 ; pas l’assemblée actuelle — Unknown author / Wikimedia Commons · Public domain. Recadrage et redimensionnement ; ne prouve pas la situation actuelle.</w:t>
      </w:r>
    </w:p>
    <w:p>
      <w:pPr>
        <w:spacing w:after="140"/>
      </w:pPr>
      <w:r>
        <w:rPr>
          <w:sz w:val="24"/>
          <w:szCs w:val="24"/>
        </w:rPr>
        <w:t xml:space="preserve">L’article 45 décrit un système dual, avec une justice ordinaire et une justice administrative confiée au Conseil d’État selon son organisation légale. Pour comprendre, on peut distinguer les litiges privés ou poursuites pénales des questions relatives aux décisions administratives, aux contrats publics ou à la responsabilité administrative. La présence d’un agent public ne suffit pourtant pas à déterminer le juge compétent. L’objet de la demande, la qualité des parties et les textes applicables doivent être étudiés. [source]</w:t>
      </w:r>
    </w:p>
    <w:p>
      <w:pPr>
        <w:spacing w:after="140"/>
      </w:pPr>
      <w:r>
        <w:rPr>
          <w:sz w:val="24"/>
          <w:szCs w:val="24"/>
        </w:rPr>
        <w:t xml:space="preserve">Un différend sur un bail privé n’est pas identique à la contestation d’un refus administratif ; un même projet peut comporter les deux. Ce guide ne propose ni tribunal universel ni délai de recours unique. Conservez la décision, les pièces et la date de notification, puis demandez une évaluation suffisamment tôt. Une plainte de service, une démarche médiatique ou un message informel ne doivent pas être supposés suspendre un délai légal ou remplacer un recours exigé.</w:t>
      </w:r>
    </w:p>
    <w:p>
      <w:pPr>
        <w:spacing w:after="140"/>
      </w:pPr>
      <w:r>
        <w:rPr>
          <w:sz w:val="24"/>
          <w:szCs w:val="24"/>
        </w:rPr>
        <w:t xml:space="preserve">Le rôle particulier de la Cour constitutionnelle suprême</w:t>
      </w:r>
    </w:p>
    <w:p>
      <w:pPr>
        <w:spacing w:after="140"/>
      </w:pPr>
      <w:r>
        <w:rPr>
          <w:sz w:val="24"/>
          <w:szCs w:val="24"/>
        </w:rPr>
        <w:t xml:space="preserve">La déclaration prévoit une nouvelle cour de sept membres nommés par le président et renvoie à la loi pour ses procédures et compétences. Le décret 149 publié en juillet 2026 a constitué la Cour et fixé des missions transitoires de contrôle constitutionnel et d’interprétation par les saisines prévues. La présenter comme totalement inexistante serait dépassé. La décrire comme un guichet directement accessible pour toute plainte personnelle serait également trompeur. [source]</w:t>
      </w:r>
    </w:p>
    <w:p>
      <w:pPr>
        <w:spacing w:after="140"/>
      </w:pPr>
      <w:r>
        <w:rPr>
          <w:sz w:val="24"/>
          <w:szCs w:val="24"/>
        </w:rPr>
        <w:t xml:space="preserve">Un litige contractuel peut demander si une obligation a été exécutée ; une question constitutionnelle porte sur la compatibilité d’une règle avec le cadre constitutionnel, selon une voie autorisée. Le citoyen peut être concerné par les effets d’une décision sans disposer d’une saisine directe illimitée. Distinguez aussi l’étude d’un projet de loi organisant la Cour de la publication de cette loi. Une description institutionnelle ne permet pas d’inventer une procédure ou un délai.</w:t>
      </w:r>
    </w:p>
    <w:p>
      <w:pPr>
        <w:spacing w:after="140"/>
      </w:pPr>
      <w:r>
        <w:rPr>
          <w:sz w:val="24"/>
          <w:szCs w:val="24"/>
        </w:rPr>
        <w:t xml:space="preserve">Les droits : une garantie écrite et une pratique à examiner</w:t>
      </w:r>
    </w:p>
    <w:p>
      <w:pPr>
        <w:spacing w:after="140"/>
      </w:pPr>
      <w:r>
        <w:rPr>
          <w:sz w:val="24"/>
          <w:szCs w:val="24"/>
        </w:rPr>
        <w:t xml:space="preserve">La déclaration contient des garanties relatives notamment à l’égalité, à la propriété, à l’expression et à l’accès à la justice, avec des dispositions encadrant les limitations. Elles constituent des références importantes, pas la résolution préalable de toute situation réelle. Séparez les faits allégués, leur interprétation et le jugement éventuellement rendu. Une enquête n’est pas une condamnation définitive et une photographie n’établit pas la responsabilité d’une personne.</w:t>
      </w:r>
    </w:p>
    <w:p>
      <w:pPr>
        <w:spacing w:after="140"/>
      </w:pPr>
      <w:r>
        <w:rPr>
          <w:sz w:val="24"/>
          <w:szCs w:val="24"/>
        </w:rPr>
        <w:t xml:space="preserve">La formulation précise consiste à dire que le texte prévoit une garantie, puis à chercher comment elle fonctionne. On peut demander des procédures, des données et des voies de traitement sans promettre une issue individuelle grâce à une phrase constitutionnelle. La connaissance civique rend la question et la démarche plus claires. Elle ne remplace ni les tribunaux, ni les textes d’application, ni un examen attentif des faits et documents.</w:t>
      </w:r>
    </w:p>
    <w:p>
      <w:pPr>
        <w:spacing w:after="140"/>
      </w:pPr>
      <w:r>
        <w:rPr>
          <w:sz w:val="24"/>
          <w:szCs w:val="24"/>
        </w:rPr>
        <w:t xml:space="preserve">Un atelier permet de relier toute la carte</w:t>
      </w:r>
    </w:p>
    <w:p>
      <w:pPr>
        <w:spacing w:after="140"/>
      </w:pPr>
      <w:r>
        <w:rPr>
          <w:sz w:val="24"/>
          <w:szCs w:val="24"/>
        </w:rPr>
        <w:t xml:space="preserve">Imaginons un entrepreneur qui entend parler d’une nouvelle condition de licence. Il vérifie d’abord s’il s’agit d’un projet, d’une loi applicable ou d’instructions prises sous un texte existant. Il identifie ensuite le bureau d’accueil, les exigences du lieu et celles du secteur. En cas de refus, il conserve le document et sa notification. C’est une méthode illustrative, pas l’affirmation d’une procédure nationale identique pour tous les ateliers.</w:t>
      </w:r>
    </w:p>
    <w:p>
      <w:pPr>
        <w:spacing w:after="140"/>
      </w:pPr>
      <w:r>
        <w:rPr>
          <w:sz w:val="24"/>
          <w:szCs w:val="24"/>
        </w:rPr>
        <w:t xml:space="preserve">Changer la règle générale relève d’un sujet législatif ou réglementaire distinct des tâches du guichet. Contester une mauvaise application individuelle peut relever d’une révision administrative ou d’un recours juridictionnel. Un conflit avec le bailleur privé pose encore une autre question. Une activité économique peut donc rencontrer plusieurs institutions sans fusionner leurs compétences. Cette compréhension est plus utile que la recherche d’un seul responsable supposé pouvoir régler toutes les étapes.</w:t>
      </w:r>
    </w:p>
    <w:p>
      <w:pPr>
        <w:spacing w:after="140"/>
      </w:pPr>
      <w:r>
        <w:rPr>
          <w:sz w:val="24"/>
          <w:szCs w:val="24"/>
        </w:rPr>
        <w:t xml:space="preserve">Un petit dossier de références civiques</w:t>
      </w:r>
    </w:p>
    <w:p>
      <w:pPr>
        <w:spacing w:after="140"/>
      </w:pPr>
      <w:r>
        <w:rPr>
          <w:sz w:val="24"/>
          <w:szCs w:val="24"/>
        </w:rPr>
        <w:t xml:space="preserve">Gardez les liens originaux, dates et numéros, avec une note de portée et une indication claire des mises à jour. Ne mélangez pas mots de passe et documents familiaux sensibles à une liste partagée. Pour expliquer le système, partez d’un service connu : qui fixe l’exigence, qui reçoit la demande et qui examine le désaccord ? Les concepts deviennent plus simples lorsqu’ils répondent à une question concrète plutôt qu’à une suite de titres administratifs.</w:t>
      </w:r>
    </w:p>
    <w:p>
      <w:pPr>
        <w:spacing w:after="140"/>
      </w:pPr>
      <w:r>
        <w:rPr>
          <w:sz w:val="24"/>
          <w:szCs w:val="24"/>
        </w:rPr>
        <w:t xml:space="preserve">Questions fréquentes</w:t>
      </w:r>
    </w:p>
    <w:p>
      <w:pPr>
        <w:spacing w:after="140"/>
      </w:pPr>
      <w:r>
        <w:rPr>
          <w:sz w:val="24"/>
          <w:szCs w:val="24"/>
        </w:rPr>
        <w:t xml:space="preserve">Ce guide décrit-il la constitution permanente ?</w:t>
      </w:r>
    </w:p>
    <w:p>
      <w:pPr>
        <w:spacing w:after="140"/>
      </w:pPr>
      <w:r>
        <w:rPr>
          <w:sz w:val="24"/>
          <w:szCs w:val="24"/>
        </w:rPr>
        <w:t xml:space="preserve">Non. Il traite du cadre transitoire de la déclaration de 2025 et d’évolutions vérifiées jusqu’au 23 octobre 2026. Une constitution permanente et les élections organisées selon elle constituent une autre étape. Un texte nouveau peut imposer de revoir le guide.</w:t>
      </w:r>
    </w:p>
    <w:p>
      <w:pPr>
        <w:spacing w:after="140"/>
      </w:pPr>
      <w:r>
        <w:rPr>
          <w:sz w:val="24"/>
          <w:szCs w:val="24"/>
        </w:rPr>
        <w:t xml:space="preserve">La présidence et le gouvernement sont-ils identiques ?</w:t>
      </w:r>
    </w:p>
    <w:p>
      <w:pPr>
        <w:spacing w:after="140"/>
      </w:pPr>
      <w:r>
        <w:rPr>
          <w:sz w:val="24"/>
          <w:szCs w:val="24"/>
        </w:rPr>
        <w:t xml:space="preserve">Ces termes ne sont pas interchangeables pour toutes les fonctions. La déclaration place l’exécutif auprès du président et des ministres, nommés et révoqués par le président. L’organisation et les pouvoirs sectoriels des ministères exigent leurs propres textes.</w:t>
      </w:r>
    </w:p>
    <w:p>
      <w:pPr>
        <w:spacing w:after="140"/>
      </w:pPr>
      <w:r>
        <w:rPr>
          <w:sz w:val="24"/>
          <w:szCs w:val="24"/>
        </w:rPr>
        <w:t xml:space="preserve">Un député peut-il délivrer mon permis ou juger mon procès ?</w:t>
      </w:r>
    </w:p>
    <w:p>
      <w:pPr>
        <w:spacing w:after="140"/>
      </w:pPr>
      <w:r>
        <w:rPr>
          <w:sz w:val="24"/>
          <w:szCs w:val="24"/>
        </w:rPr>
        <w:t xml:space="preserve">Le travail législatif diffère d’une autorisation administrative et d’un jugement. Un problème général peut être porté dans les mécanismes parlementaires, mais le soutien d’un membre ne remplace pas la procédure du service compétent ou la décision du tribunal.</w:t>
      </w:r>
    </w:p>
    <w:p>
      <w:pPr>
        <w:spacing w:after="140"/>
      </w:pPr>
      <w:r>
        <w:rPr>
          <w:sz w:val="24"/>
          <w:szCs w:val="24"/>
        </w:rPr>
        <w:t xml:space="preserve">Tous les membres ont-ils été élus au suffrage direct ?</w:t>
      </w:r>
    </w:p>
    <w:p>
      <w:pPr>
        <w:spacing w:after="140"/>
      </w:pPr>
      <w:r>
        <w:rPr>
          <w:sz w:val="24"/>
          <w:szCs w:val="24"/>
        </w:rPr>
        <w:t xml:space="preserve">La déclaration prévoit des corps électoraux pour deux tiers des membres et une désignation présidentielle pour le tiers restant. Pour une circonscription ou une étape précise, consultez les règles temporaires et les décisions datées correspondantes.</w:t>
      </w:r>
    </w:p>
    <w:p>
      <w:pPr>
        <w:spacing w:after="140"/>
      </w:pPr>
      <w:r>
        <w:rPr>
          <w:sz w:val="24"/>
          <w:szCs w:val="24"/>
        </w:rPr>
        <w:t xml:space="preserve">Une plainte au ministère suspend-elle le délai de recours ?</w:t>
      </w:r>
    </w:p>
    <w:p>
      <w:pPr>
        <w:spacing w:after="140"/>
      </w:pPr>
      <w:r>
        <w:rPr>
          <w:sz w:val="24"/>
          <w:szCs w:val="24"/>
        </w:rPr>
        <w:t xml:space="preserve">Il ne faut pas le supposer. Plaintes administratives et recours juridictionnels peuvent avoir des conditions, délais et effets différents. Conservez les notifications et consultez rapidement si un droit, une somme importante ou votre situation juridique est en jeu.</w:t>
      </w:r>
    </w:p>
    <w:p>
      <w:pPr>
        <w:spacing w:after="140"/>
      </w:pPr>
      <w:r>
        <w:rPr>
          <w:sz w:val="24"/>
          <w:szCs w:val="24"/>
        </w:rPr>
        <w:t xml:space="preserve">Quel article lire ensuite ?</w:t>
      </w:r>
    </w:p>
    <w:p>
      <w:pPr>
        <w:spacing w:after="140"/>
      </w:pPr>
      <w:r>
        <w:rPr>
          <w:sz w:val="24"/>
          <w:szCs w:val="24"/>
        </w:rPr>
        <w:t xml:space="preserve">Le guide complémentaire explique ministères, gouvernorats, districts, sous-districts et administration locale. Le présent article répartit les pouvoirs ; l’autre aide à trouver le service sans confondre localisation géographique et compétence juridique.</w:t>
      </w:r>
    </w:p>
    <w:p>
      <w:pPr>
        <w:spacing w:after="140"/>
      </w:pPr>
      <w:r>
        <w:rPr>
          <w:sz w:val="24"/>
          <w:szCs w:val="24"/>
        </w:rPr>
        <w:t xml:space="preserve">Sources et lectures complémentaires</w:t>
      </w:r>
    </w:p>
    <w:p>
      <w:pPr>
        <w:spacing w:after="140"/>
      </w:pPr>
      <w:r>
        <w:rPr>
          <w:sz w:val="24"/>
          <w:szCs w:val="24"/>
        </w:rPr>
        <w:t xml:space="preserve">Presidency — Constitutional Declaration, 13 March 2025 (Arabic original reproduced by Syrian Memory)</w:t>
      </w:r>
    </w:p>
    <w:p>
      <w:pPr>
        <w:spacing w:after="140"/>
      </w:pPr>
      <w:r>
        <w:rPr>
          <w:sz w:val="24"/>
          <w:szCs w:val="24"/>
        </w:rPr>
        <w:t xml:space="preserve">SANA — First sitting of the People’s Assembly, 12 July 2026</w:t>
      </w:r>
    </w:p>
    <w:p>
      <w:pPr>
        <w:spacing w:after="140"/>
      </w:pPr>
      <w:r>
        <w:rPr>
          <w:sz w:val="24"/>
          <w:szCs w:val="24"/>
        </w:rPr>
        <w:t xml:space="preserve">Presidency / SANA — Temporary electoral system, Decree 143 of 2025</w:t>
      </w:r>
    </w:p>
    <w:p>
      <w:pPr>
        <w:spacing w:after="140"/>
      </w:pPr>
      <w:r>
        <w:rPr>
          <w:sz w:val="24"/>
          <w:szCs w:val="24"/>
        </w:rPr>
        <w:t xml:space="preserve">Presidency / SANA — Constitutional Court appointments and transitional functions, 7 July 2026</w:t>
      </w:r>
    </w:p>
    <w:p>
      <w:pPr>
        <w:spacing w:after="140"/>
      </w:pPr>
      <w:r>
        <w:rPr>
          <w:sz w:val="24"/>
          <w:szCs w:val="24"/>
        </w:rPr>
        <w:t xml:space="preserve">SANA — Constitutional Court president on the draft organisational law, 21 July 2026</w:t>
      </w:r>
    </w:p>
    <w:p>
      <w:pPr>
        <w:spacing w:after="140"/>
      </w:pPr>
      <w:r>
        <w:rPr>
          <w:sz w:val="24"/>
          <w:szCs w:val="24"/>
        </w:rPr>
        <w:t xml:space="preserve">Explorer Bsouria</w:t>
      </w:r>
    </w:p>
    <w:p>
      <w:pPr>
        <w:spacing w:after="140"/>
      </w:pPr>
      <w:r>
        <w:rPr>
          <w:sz w:val="24"/>
          <w:szCs w:val="24"/>
        </w:rPr>
        <w:t xml:space="preserve">Opportunités commerciales · Annuaire des entreprises · Article complémentaire</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Parlement syrien, 1950–1955 ; photographie historique — Unknown author / Wikimedia Commons · Public domain. Recadrage et redimensionnement ; ne prouve pas la situation actuelle.</w:t>
      </w:r>
    </w:p>
    <w:p>
      <w:pPr>
        <w:spacing w:after="140"/>
      </w:pPr>
      <w:r>
        <w:rPr>
          <w:sz w:val="24"/>
          <w:szCs w:val="24"/>
        </w:rPr>
        <w:t xml:space="preserve">Salle du parlement syrien en 1955 ; pas l’assemblée actuelle — Unknown author / Wikimedia Commons · Public domain. Recadrage et redimensionnement ; ne prouve pas la situation actuelle.</w:t>
      </w:r>
    </w:p>
    <w:p>
      <w:pPr>
        <w:spacing w:after="140"/>
      </w:pPr>
      <w:r>
        <w:rPr>
          <w:sz w:val="24"/>
          <w:szCs w:val="24"/>
        </w:rPr>
        <w:t xml:space="preserve">Licence du diaporama mis à jour : CC BY-SA 4.0. Sources, auteurs et licences ci-dessus ; chaque image et extrait conserve sa licence d’origine ou compatible.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Qui gouverne la Syrie ? Comprendre la présidence, le gouvernement, le Parlement et la justice</dc:title>
  <dc:creator>Bsouria</dc:creator>
  <cp:lastModifiedBy>Bsouria</cp:lastModifiedBy>
  <dcterms:created xsi:type="dcterms:W3CDTF">2026-10-30T16:50:58Z</dcterms:created>
</cp:coreProperties>
</file>