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Investir dans les entreprises syriennes en 2026 : entrée sur le marché, partenaire et structuration</w:t>
      </w:r>
    </w:p>
    <w:p>
      <w:pPr/>
      <w:r>
        <w:rPr>
          <w:i/>
          <w:color w:val="64736B"/>
        </w:rPr>
        <w:t>Bsouria Editorial · 2026-07-29</w:t>
      </w:r>
    </w:p>
    <w:p>
      <w:pPr>
        <w:spacing w:after="220"/>
      </w:pPr>
      <w:r>
        <w:rPr>
          <w:i/>
        </w:rPr>
        <w:t>Guide complet sur l’entrée en Syrie, les secteurs, le choix du partenaire, la due diligence, la conformité, la valorisation, le financement, la gouvernance et les risques.</w:t>
      </w:r>
    </w:p>
    <w:p>
      <w:pPr>
        <w:spacing w:after="140"/>
      </w:pPr>
      <w:r>
        <w:rPr>
          <w:sz w:val="24"/>
          <w:szCs w:val="24"/>
        </w:rPr>
        <w:t xml:space="preserve">Investir dans des entreprises syriennes en 2026 ne se résume pas à choisir entre « entrer maintenant » et « attendre ». Le marché traverse une transition juridique, financière, bancaire et opérationnelle. Les liens régionaux et internationaux se réouvrent progressivement, tandis que les entreprises restent confrontées à des infrastructures inégales, à des circuits de paiement prudents, à des règles évolutives et à de fortes différences entre secteurs et gouvernorats. L’investisseur le mieux placé n’est donc pas forcément celui qui apporte le plus gros montant, mais celui qui construit une thèse claire, choisit le bon mode d’entrée, vérifie le partenaire et les actifs, organise la gouvernance avant le transfert des fonds et prévoit une exploitation résistante aux interruptions.</w:t>
      </w:r>
    </w:p>
    <w:p>
      <w:pPr>
        <w:spacing w:after="140"/>
      </w:pPr>
      <w:r>
        <w:rPr>
          <w:sz w:val="24"/>
          <w:szCs w:val="24"/>
        </w:rPr>
        <w:t xml:space="preserve">Important : ce guide est un contenu général. Il ne remplace pas un conseil juridique, fiscal, bancaire, de sanctions ou d’investissement. Les règles, les licences et les pratiques des banques peuvent évoluer. Avant toute acquisition, transfert ou convention d’associés, consultez des professionnels qualifiés en Syrie et dans les pays concernés.</w:t>
      </w:r>
    </w:p>
    <w:p>
      <w:pPr>
        <w:spacing w:after="140"/>
      </w:pPr>
      <w:r>
        <w:rPr>
          <w:sz w:val="24"/>
          <w:szCs w:val="24"/>
        </w:rPr>
        <w:t xml:space="preserve">Pourquoi ce guide est différent d’un guide de création d’entreprise</w:t>
      </w:r>
    </w:p>
    <w:p>
      <w:pPr>
        <w:spacing w:after="140"/>
      </w:pPr>
      <w:r>
        <w:rPr>
          <w:sz w:val="24"/>
          <w:szCs w:val="24"/>
        </w:rPr>
        <w:t xml:space="preserve">La création d’une société répond à une question procédurale : comment enregistrer une personne morale ? L’investissement soulève d’autres questions. Qu’achetez-vous réellement : des actions, des actifs, des contrats, une clientèle, une licence, une technologie ou un réseau de distribution ? Le vendeur peut-il prouver la propriété ? Existe-t-il des dettes cachées, un terrain contesté, des permis expirés, des risques fiscaux ou des liens avec des personnes sanctionnées ? Comment protéger le capital contre les variations de change, les retards de paiement, les coupures d’électricité et les ruptures d’approvisionnement ?</w:t>
      </w:r>
    </w:p>
    <w:p>
      <w:pPr>
        <w:spacing w:after="140"/>
      </w:pPr>
      <w:r>
        <w:rPr>
          <w:sz w:val="24"/>
          <w:szCs w:val="24"/>
        </w:rPr>
        <w:t xml:space="preserve">Une société peut être légalement enregistrée mais rester fragile : comptes personnels, accords verbaux, dépendance envers un client ou un fondateur. À l’inverse, une jeune entreprise peut disposer d’une équipe solide, d’une demande vérifiée et d’une structure plus propre. Le registre prouve l’existence de l’entité, pas sa valeur.</w:t>
      </w:r>
    </w:p>
    <w:p>
      <w:pPr>
        <w:spacing w:after="140"/>
      </w:pPr>
      <w:r>
        <w:rPr>
          <w:sz w:val="24"/>
          <w:szCs w:val="24"/>
        </w:rPr>
        <w:t xml:space="preserve">Lire le contexte syrien avec réalisme</w:t>
      </w:r>
    </w:p>
    <w:p>
      <w:pPr>
        <w:spacing w:after="140"/>
      </w:pPr>
      <w:r>
        <w:rPr>
          <w:sz w:val="24"/>
          <w:szCs w:val="24"/>
        </w:rPr>
        <w:t xml:space="preserve">Les travaux récents de la Banque mondiale montrent l’ampleur des dommages physiques et des besoins de reconstruction. Ces chiffres ne signifient pas que chaque besoin devient immédiatement un contrat finançable. Ils montrent toutefois l’importance des déficits dans l’électricité, l’eau, le transport, le logement, les bâtiments productifs et les services. La reprise reste très différente selon les régions et les secteurs.</w:t>
      </w:r>
    </w:p>
    <w:p>
      <w:pPr>
        <w:spacing w:after="140"/>
      </w:pPr>
      <w:r>
        <w:rPr>
          <w:sz w:val="24"/>
          <w:szCs w:val="24"/>
        </w:rPr>
        <w:t xml:space="preserve">En 2025 et 2026, les échanges avec les institutions internationales ont repris, ainsi que des projets liés à l’électricité, à l’eau, à la santé et à la gestion des finances publiques. Le Dialogue du secteur privé syrien de 2026 a traité du droit, de la fiscalité, du financement, de la logistique, du commerce, de l’accès au marché, des compétences, de l’innovation et de la diaspora. L’incertitude demeure, mais l’accès à l’information et aux partenaires est plus structuré.</w:t>
      </w:r>
    </w:p>
    <w:p>
      <w:pPr>
        <w:spacing w:after="140"/>
      </w:pPr>
      <w:r>
        <w:rPr>
          <w:sz w:val="24"/>
          <w:szCs w:val="24"/>
        </w:rPr>
        <w:t xml:space="preserve">L’allègement large des sanctions économiques a modifié le contexte, sans supprimer toutes les restrictions ciblées. Les banques, assureurs, transporteurs et fournisseurs technologiques peuvent appliquer des politiques internes plus prudentes que le minimum légal. Il faut donc distinguer : l’opération est-elle autorisée ? La banque l’exécutera-t-elle ? Les prestataires de transport, d’assurance et de technologie l’accepteront-ils ?</w:t>
      </w:r>
    </w:p>
    <w:p>
      <w:pPr>
        <w:spacing w:after="140"/>
      </w:pPr>
      <w:r>
        <w:rPr>
          <w:sz w:val="24"/>
          <w:szCs w:val="24"/>
        </w:rPr>
        <w:t xml:space="preserve">Conclusion pratique : la Syrie est un marché de transition. Elle exige du travail de terrain, de la conformité, du capital patient, une exécution locale fiable et un modèle conçu pour la volatilité.</w:t>
      </w:r>
    </w:p>
    <w:p>
      <w:pPr>
        <w:spacing w:after="140"/>
      </w:pPr>
      <w:r>
        <w:rPr>
          <w:sz w:val="24"/>
          <w:szCs w:val="24"/>
        </w:rPr>
        <w:t xml:space="preserve">Écrire une thèse d’investissement d’une page</w:t>
      </w:r>
    </w:p>
    <w:p>
      <w:pPr>
        <w:spacing w:after="140"/>
      </w:pPr>
      <w:r>
        <w:rPr>
          <w:sz w:val="24"/>
          <w:szCs w:val="24"/>
        </w:rPr>
        <w:t xml:space="preserve">Avant de négocier une valorisation, expliquez en une page pourquoi l’opportunité existe et comment l’investissement crée de la valeur. Identifiez le client, le problème payé, l’avantage apporté et les conditions d’échec.</w:t>
      </w:r>
    </w:p>
    <w:p>
      <w:pPr>
        <w:spacing w:after="140"/>
      </w:pPr>
      <w:r>
        <w:rPr>
          <w:sz w:val="24"/>
          <w:szCs w:val="24"/>
        </w:rPr>
        <w:t xml:space="preserve">Besoin : quel problème concret existe aujourd’hui ?</w:t>
      </w:r>
    </w:p>
    <w:p>
      <w:pPr>
        <w:spacing w:after="140"/>
      </w:pPr>
      <w:r>
        <w:rPr>
          <w:sz w:val="24"/>
          <w:szCs w:val="24"/>
        </w:rPr>
        <w:t xml:space="preserve">Client : ménage, entreprise, distributeur, institution, ONG ou marché d’exportation ?</w:t>
      </w:r>
    </w:p>
    <w:p>
      <w:pPr>
        <w:spacing w:after="140"/>
      </w:pPr>
      <w:r>
        <w:rPr>
          <w:sz w:val="24"/>
          <w:szCs w:val="24"/>
        </w:rPr>
        <w:t xml:space="preserve">Revenu : vente, abonnement, location, commission, fabrication sous contrat ou distribution ?</w:t>
      </w:r>
    </w:p>
    <w:p>
      <w:pPr>
        <w:spacing w:after="140"/>
      </w:pPr>
      <w:r>
        <w:rPr>
          <w:sz w:val="24"/>
          <w:szCs w:val="24"/>
        </w:rPr>
        <w:t xml:space="preserve">Avantage : capital, technologie, gestion, fournisseurs, accès à l’export, marque ou conformité ?</w:t>
      </w:r>
    </w:p>
    <w:p>
      <w:pPr>
        <w:spacing w:after="140"/>
      </w:pPr>
      <w:r>
        <w:rPr>
          <w:sz w:val="24"/>
          <w:szCs w:val="24"/>
        </w:rPr>
        <w:t xml:space="preserve">Risques : change, énergie, licence, partenaire, encaissement, logistique ou demande ?</w:t>
      </w:r>
    </w:p>
    <w:p>
      <w:pPr>
        <w:spacing w:after="140"/>
      </w:pPr>
      <w:r>
        <w:rPr>
          <w:sz w:val="24"/>
          <w:szCs w:val="24"/>
        </w:rPr>
        <w:t xml:space="preserve">Sortie : dividendes, remboursement, vente stratégique ou rachat par le fondateur ?</w:t>
      </w:r>
    </w:p>
    <w:p>
      <w:pPr>
        <w:spacing w:after="140"/>
      </w:pPr>
      <w:r>
        <w:rPr>
          <w:sz w:val="24"/>
          <w:szCs w:val="24"/>
        </w:rPr>
        <w:t xml:space="preserve">« La Syrie a besoin de tout » n’est pas une thèse. Une thèse testable décrit un client précis, une demande prouvable, une solution et une contribution identifiable de l’investisseur.</w:t>
      </w:r>
    </w:p>
    <w:p>
      <w:pPr>
        <w:spacing w:after="140"/>
      </w:pPr>
      <w:r>
        <w:rPr>
          <w:sz w:val="24"/>
          <w:szCs w:val="24"/>
        </w:rPr>
        <w:t xml:space="preserve">Choisir le mode d’entrée avant le pourcentage</w:t>
      </w:r>
    </w:p>
    <w:p>
      <w:pPr>
        <w:spacing w:after="140"/>
      </w:pPr>
      <w:r>
        <w:rPr>
          <w:sz w:val="24"/>
          <w:szCs w:val="24"/>
        </w:rPr>
        <w:t xml:space="preserve">ModèleQuand il convientProtection principaleNouvelle sociétéSystème propre, nouvelle technologie ou nouvelle marqueTemps de licence, équipe et acquisition de clientsPrise de participationRevenus, actifs, contrats et équipe vérifiablesPassifs cachés, dépendance au fondateur et informationCoentrepriseLe partenaire local apporte le marché ou les licencesDécisions réservées, financement futur et sortieDistributionTester le marché avec peu de capitalExclusivité, objectifs, stock et encaissementFabrication sous contratCapacité locale nécessitant commandes, qualité ou fonds de roulementSpécifications, propriété intellectuelle et livraisonVéhicule de projetÉnergie, infrastructure, immobilier ou grand contratFlux de trésorerie, garanties, permis et contrats</w:t>
      </w:r>
    </w:p>
    <w:p>
      <w:pPr>
        <w:spacing w:after="140"/>
      </w:pPr>
      <w:r>
        <w:rPr>
          <w:sz w:val="24"/>
          <w:szCs w:val="24"/>
        </w:rPr>
        <w:t xml:space="preserve">Une approche progressive peut réduire le risque : contrat pilote, investissement limité lié à des indicateurs, puis augmentation de la participation après performance vérifiée.</w:t>
      </w:r>
    </w:p>
    <w:p>
      <w:pPr>
        <w:spacing w:after="140"/>
      </w:pPr>
      <w:r>
        <w:rPr>
          <w:sz w:val="24"/>
          <w:szCs w:val="24"/>
        </w:rPr>
        <w:t xml:space="preserve">Secteurs où des opportunités peuvent apparaître</w:t>
      </w:r>
    </w:p>
    <w:p>
      <w:pPr>
        <w:spacing w:after="140"/>
      </w:pPr>
      <w:r>
        <w:rPr>
          <w:sz w:val="24"/>
          <w:szCs w:val="24"/>
        </w:rPr>
        <w:t xml:space="preserve">Agriculture, alimentation et transformation</w:t>
      </w:r>
    </w:p>
    <w:p>
      <w:pPr>
        <w:spacing w:after="140"/>
      </w:pPr>
      <w:r>
        <w:rPr>
          <w:sz w:val="24"/>
          <w:szCs w:val="24"/>
        </w:rPr>
        <w:t xml:space="preserve">Les besoins concernent les intrants, l’irrigation, le froid, le tri, l’emballage, les laboratoires, le stockage, la chaîne du froid et la sécurité alimentaire. La valeur se trouve souvent entre la ferme et le marché, en réduisant les pertes et en améliorant la qualité.</w:t>
      </w:r>
    </w:p>
    <w:p>
      <w:pPr>
        <w:spacing w:after="140"/>
      </w:pPr>
      <w:r>
        <w:rPr>
          <w:sz w:val="24"/>
          <w:szCs w:val="24"/>
        </w:rPr>
        <w:t xml:space="preserve">Matériaux de construction et services au logement</w:t>
      </w:r>
    </w:p>
    <w:p>
      <w:pPr>
        <w:spacing w:after="140"/>
      </w:pPr>
      <w:r>
        <w:rPr>
          <w:sz w:val="24"/>
          <w:szCs w:val="24"/>
        </w:rPr>
        <w:t xml:space="preserve">Les grands projets sont complexes. Pour un investisseur moyen, l’isolation, les tuyaux, les composants électriques, les portes, les fenêtres, les essais, la maintenance et le recyclage peuvent être plus accessibles.</w:t>
      </w:r>
    </w:p>
    <w:p>
      <w:pPr>
        <w:spacing w:after="140"/>
      </w:pPr>
      <w:r>
        <w:rPr>
          <w:sz w:val="24"/>
          <w:szCs w:val="24"/>
        </w:rPr>
        <w:t xml:space="preserve">Énergie et efficacité</w:t>
      </w:r>
    </w:p>
    <w:p>
      <w:pPr>
        <w:spacing w:after="140"/>
      </w:pPr>
      <w:r>
        <w:rPr>
          <w:sz w:val="24"/>
          <w:szCs w:val="24"/>
        </w:rPr>
        <w:t xml:space="preserve">Solaire distribué, batteries, contrôle, maintenance, audit énergétique et moteurs efficaces peuvent répondre à des besoins importants. La qualité, la garantie, la sécurité et le service doivent être vérifiés.</w:t>
      </w:r>
    </w:p>
    <w:p>
      <w:pPr>
        <w:spacing w:after="140"/>
      </w:pPr>
      <w:r>
        <w:rPr>
          <w:sz w:val="24"/>
          <w:szCs w:val="24"/>
        </w:rPr>
        <w:t xml:space="preserve">Industrie légère et services industriels</w:t>
      </w:r>
    </w:p>
    <w:p>
      <w:pPr>
        <w:spacing w:after="140"/>
      </w:pPr>
      <w:r>
        <w:rPr>
          <w:sz w:val="24"/>
          <w:szCs w:val="24"/>
        </w:rPr>
        <w:t xml:space="preserve">De nombreuses installations ont d’abord besoin de maintenance, pièces, automatisation, moules, emballage, étalonnage et contrôle qualité.</w:t>
      </w:r>
    </w:p>
    <w:p>
      <w:pPr>
        <w:spacing w:after="140"/>
      </w:pPr>
      <w:r>
        <w:rPr>
          <w:sz w:val="24"/>
          <w:szCs w:val="24"/>
        </w:rPr>
        <w:t xml:space="preserve">Logistique et commerce</w:t>
      </w:r>
    </w:p>
    <w:p>
      <w:pPr>
        <w:spacing w:after="140"/>
      </w:pPr>
      <w:r>
        <w:rPr>
          <w:sz w:val="24"/>
          <w:szCs w:val="24"/>
        </w:rPr>
        <w:t xml:space="preserve">La valeur peut venir de la documentation, du suivi, des entrepôts, du stock, du transport froid et du lien producteurs-distributeurs. Consultez le guide import-export.</w:t>
      </w:r>
    </w:p>
    <w:p>
      <w:pPr>
        <w:spacing w:after="140"/>
      </w:pPr>
      <w:r>
        <w:rPr>
          <w:sz w:val="24"/>
          <w:szCs w:val="24"/>
        </w:rPr>
        <w:t xml:space="preserve">Services numériques B2B</w:t>
      </w:r>
    </w:p>
    <w:p>
      <w:pPr>
        <w:spacing w:after="140"/>
      </w:pPr>
      <w:r>
        <w:rPr>
          <w:sz w:val="24"/>
          <w:szCs w:val="24"/>
        </w:rPr>
        <w:t xml:space="preserve">Comptabilité, stock, vente, cybersécurité, commerce électronique et paiement sont des besoins importants. Vérifiez l’hébergement, les licences, la continuité internet et les politiques des fournisseurs internationaux.</w:t>
      </w:r>
    </w:p>
    <w:p>
      <w:pPr>
        <w:spacing w:after="140"/>
      </w:pPr>
      <w:r>
        <w:rPr>
          <w:sz w:val="24"/>
          <w:szCs w:val="24"/>
        </w:rPr>
        <w:t xml:space="preserve">Santé, éducation et compétences</w:t>
      </w:r>
    </w:p>
    <w:p>
      <w:pPr>
        <w:spacing w:after="140"/>
      </w:pPr>
      <w:r>
        <w:rPr>
          <w:sz w:val="24"/>
          <w:szCs w:val="24"/>
        </w:rPr>
        <w:t xml:space="preserve">Laboratoires, gestion de cliniques, maintenance d’équipements, formation technique et programmes liés aux besoins industriels peuvent créer une valeur durable.</w:t>
      </w:r>
    </w:p>
    <w:p>
      <w:pPr>
        <w:spacing w:after="140"/>
      </w:pPr>
      <w:r>
        <w:rPr>
          <w:sz w:val="24"/>
          <w:szCs w:val="24"/>
        </w:rPr>
        <w:t xml:space="preserve">Tourisme et services locaux</w:t>
      </w:r>
    </w:p>
    <w:p>
      <w:pPr>
        <w:spacing w:after="140"/>
      </w:pPr>
      <w:r>
        <w:rPr>
          <w:sz w:val="24"/>
          <w:szCs w:val="24"/>
        </w:rPr>
        <w:t xml:space="preserve">Des hébergements modestes, la restauration, la réservation, les expériences locales et la gestion de biens peuvent être plus flexibles qu’un grand hôtel. Testez la demande saisonnière.</w:t>
      </w:r>
    </w:p>
    <w:p>
      <w:pPr>
        <w:spacing w:after="140"/>
      </w:pPr>
      <w:r>
        <w:rPr>
          <w:sz w:val="24"/>
          <w:szCs w:val="24"/>
        </w:rPr>
        <w:t xml:space="preserve">Le gouvernorat fait partie du modèle</w:t>
      </w:r>
    </w:p>
    <w:p>
      <w:pPr>
        <w:spacing w:after="140"/>
      </w:pPr>
      <w:r>
        <w:rPr>
          <w:sz w:val="24"/>
          <w:szCs w:val="24"/>
        </w:rPr>
        <w:t xml:space="preserve">Damas, Alep, la côte et les régions centrales ou orientales diffèrent par la clientèle, les fournisseurs, les loyers, la main-d’œuvre, les routes, l’électricité et la concurrence. Utilisez la carte d’investissement des gouvernorats, puis construisez votre propre carte opérationnelle.</w:t>
      </w:r>
    </w:p>
    <w:p>
      <w:pPr>
        <w:spacing w:after="140"/>
      </w:pPr>
      <w:r>
        <w:rPr>
          <w:sz w:val="24"/>
          <w:szCs w:val="24"/>
        </w:rPr>
        <w:t xml:space="preserve">Où se trouve le client ?</w:t>
      </w:r>
    </w:p>
    <w:p>
      <w:pPr>
        <w:spacing w:after="140"/>
      </w:pPr>
      <w:r>
        <w:rPr>
          <w:sz w:val="24"/>
          <w:szCs w:val="24"/>
        </w:rPr>
        <w:t xml:space="preserve">Combien de temps faut-il pour livrer ?</w:t>
      </w:r>
    </w:p>
    <w:p>
      <w:pPr>
        <w:spacing w:after="140"/>
      </w:pPr>
      <w:r>
        <w:rPr>
          <w:sz w:val="24"/>
          <w:szCs w:val="24"/>
        </w:rPr>
        <w:t xml:space="preserve">Existe-t-il des fournisseurs et routes alternatifs ?</w:t>
      </w:r>
    </w:p>
    <w:p>
      <w:pPr>
        <w:spacing w:after="140"/>
      </w:pPr>
      <w:r>
        <w:rPr>
          <w:sz w:val="24"/>
          <w:szCs w:val="24"/>
        </w:rPr>
        <w:t xml:space="preserve">Les compétences sont-elles disponibles localement ?</w:t>
      </w:r>
    </w:p>
    <w:p>
      <w:pPr>
        <w:spacing w:after="140"/>
      </w:pPr>
      <w:r>
        <w:rPr>
          <w:sz w:val="24"/>
          <w:szCs w:val="24"/>
        </w:rPr>
        <w:t xml:space="preserve">La proximité d’un port, d’une frontière ou d’une zone industrielle est-elle nécessaire ?</w:t>
      </w:r>
    </w:p>
    <w:p>
      <w:pPr>
        <w:spacing w:after="140"/>
      </w:pPr>
      <w:r>
        <w:rPr>
          <w:sz w:val="24"/>
          <w:szCs w:val="24"/>
        </w:rPr>
        <w:t xml:space="preserve">Due diligence avant l’achat de titres</w:t>
      </w:r>
    </w:p>
    <w:p>
      <w:pPr>
        <w:spacing w:after="140"/>
      </w:pPr>
      <w:r>
        <w:rPr>
          <w:sz w:val="24"/>
          <w:szCs w:val="24"/>
        </w:rPr>
        <w:t xml:space="preserve">La due diligence doit couvrir la réalité juridique, financière, fiscale, commerciale, opérationnelle et de conformité.</w:t>
      </w:r>
    </w:p>
    <w:p>
      <w:pPr>
        <w:spacing w:after="140"/>
      </w:pPr>
      <w:r>
        <w:rPr>
          <w:sz w:val="24"/>
          <w:szCs w:val="24"/>
        </w:rPr>
        <w:t xml:space="preserve">Juridique et propriété</w:t>
      </w:r>
    </w:p>
    <w:p>
      <w:pPr>
        <w:spacing w:after="140"/>
      </w:pPr>
      <w:r>
        <w:rPr>
          <w:sz w:val="24"/>
          <w:szCs w:val="24"/>
        </w:rPr>
        <w:t xml:space="preserve">Registre, statuts, modifications et signatures.</w:t>
      </w:r>
    </w:p>
    <w:p>
      <w:pPr>
        <w:spacing w:after="140"/>
      </w:pPr>
      <w:r>
        <w:rPr>
          <w:sz w:val="24"/>
          <w:szCs w:val="24"/>
        </w:rPr>
        <w:t xml:space="preserve">Propriétaires effectifs et accords parallèles.</w:t>
      </w:r>
    </w:p>
    <w:p>
      <w:pPr>
        <w:spacing w:after="140"/>
      </w:pPr>
      <w:r>
        <w:rPr>
          <w:sz w:val="24"/>
          <w:szCs w:val="24"/>
        </w:rPr>
        <w:t xml:space="preserve">Licences, renouvellements et violations.</w:t>
      </w:r>
    </w:p>
    <w:p>
      <w:pPr>
        <w:spacing w:after="140"/>
      </w:pPr>
      <w:r>
        <w:rPr>
          <w:sz w:val="24"/>
          <w:szCs w:val="24"/>
        </w:rPr>
        <w:t xml:space="preserve">Litiges, sûretés, saisies et garanties.</w:t>
      </w:r>
    </w:p>
    <w:p>
      <w:pPr>
        <w:spacing w:after="140"/>
      </w:pPr>
      <w:r>
        <w:rPr>
          <w:sz w:val="24"/>
          <w:szCs w:val="24"/>
        </w:rPr>
        <w:t xml:space="preserve">Propriété ou bail des terrains et bâtiments.</w:t>
      </w:r>
    </w:p>
    <w:p>
      <w:pPr>
        <w:spacing w:after="140"/>
      </w:pPr>
      <w:r>
        <w:rPr>
          <w:sz w:val="24"/>
          <w:szCs w:val="24"/>
        </w:rPr>
        <w:t xml:space="preserve">Contrats principaux et changement de contrôle.</w:t>
      </w:r>
    </w:p>
    <w:p>
      <w:pPr>
        <w:spacing w:after="140"/>
      </w:pPr>
      <w:r>
        <w:rPr>
          <w:sz w:val="24"/>
          <w:szCs w:val="24"/>
        </w:rPr>
        <w:t xml:space="preserve">Marque, logiciel et savoir-faire.</w:t>
      </w:r>
    </w:p>
    <w:p>
      <w:pPr>
        <w:spacing w:after="140"/>
      </w:pPr>
      <w:r>
        <w:rPr>
          <w:sz w:val="24"/>
          <w:szCs w:val="24"/>
        </w:rPr>
        <w:t xml:space="preserve">Finances et fiscalité</w:t>
      </w:r>
    </w:p>
    <w:p>
      <w:pPr>
        <w:spacing w:after="140"/>
      </w:pPr>
      <w:r>
        <w:rPr>
          <w:sz w:val="24"/>
          <w:szCs w:val="24"/>
        </w:rPr>
        <w:t xml:space="preserve">Ventes, factures, livraison et encaissement.</w:t>
      </w:r>
    </w:p>
    <w:p>
      <w:pPr>
        <w:spacing w:after="140"/>
      </w:pPr>
      <w:r>
        <w:rPr>
          <w:sz w:val="24"/>
          <w:szCs w:val="24"/>
        </w:rPr>
        <w:t xml:space="preserve">Concentration des clients.</w:t>
      </w:r>
    </w:p>
    <w:p>
      <w:pPr>
        <w:spacing w:after="140"/>
      </w:pPr>
      <w:r>
        <w:rPr>
          <w:sz w:val="24"/>
          <w:szCs w:val="24"/>
        </w:rPr>
        <w:t xml:space="preserve">Ancienneté des créances.</w:t>
      </w:r>
    </w:p>
    <w:p>
      <w:pPr>
        <w:spacing w:after="140"/>
      </w:pPr>
      <w:r>
        <w:rPr>
          <w:sz w:val="24"/>
          <w:szCs w:val="24"/>
        </w:rPr>
        <w:t xml:space="preserve">Âge, état et coût de remplacement du stock.</w:t>
      </w:r>
    </w:p>
    <w:p>
      <w:pPr>
        <w:spacing w:after="140"/>
      </w:pPr>
      <w:r>
        <w:rPr>
          <w:sz w:val="24"/>
          <w:szCs w:val="24"/>
        </w:rPr>
        <w:t xml:space="preserve">Dettes bancaires, fournisseurs, salariés et associés.</w:t>
      </w:r>
    </w:p>
    <w:p>
      <w:pPr>
        <w:spacing w:after="140"/>
      </w:pPr>
      <w:r>
        <w:rPr>
          <w:sz w:val="24"/>
          <w:szCs w:val="24"/>
        </w:rPr>
        <w:t xml:space="preserve">Impôts, taxes et pénalités potentielles.</w:t>
      </w:r>
    </w:p>
    <w:p>
      <w:pPr>
        <w:spacing w:after="140"/>
      </w:pPr>
      <w:r>
        <w:rPr>
          <w:sz w:val="24"/>
          <w:szCs w:val="24"/>
        </w:rPr>
        <w:t xml:space="preserve">Consultez le guide fiscal et le guide bancaire.</w:t>
      </w:r>
    </w:p>
    <w:p>
      <w:pPr>
        <w:spacing w:after="140"/>
      </w:pPr>
      <w:r>
        <w:rPr>
          <w:sz w:val="24"/>
          <w:szCs w:val="24"/>
        </w:rPr>
        <w:t xml:space="preserve">Opérations</w:t>
      </w:r>
    </w:p>
    <w:p>
      <w:pPr>
        <w:spacing w:after="140"/>
      </w:pPr>
      <w:r>
        <w:rPr>
          <w:sz w:val="24"/>
          <w:szCs w:val="24"/>
        </w:rPr>
        <w:t xml:space="preserve">Capacité réelle.</w:t>
      </w:r>
    </w:p>
    <w:p>
      <w:pPr>
        <w:spacing w:after="140"/>
      </w:pPr>
      <w:r>
        <w:rPr>
          <w:sz w:val="24"/>
          <w:szCs w:val="24"/>
        </w:rPr>
        <w:t xml:space="preserve">Pannes et maintenance.</w:t>
      </w:r>
    </w:p>
    <w:p>
      <w:pPr>
        <w:spacing w:after="140"/>
      </w:pPr>
      <w:r>
        <w:rPr>
          <w:sz w:val="24"/>
          <w:szCs w:val="24"/>
        </w:rPr>
        <w:t xml:space="preserve">Énergie et eau par unité.</w:t>
      </w:r>
    </w:p>
    <w:p>
      <w:pPr>
        <w:spacing w:after="140"/>
      </w:pPr>
      <w:r>
        <w:rPr>
          <w:sz w:val="24"/>
          <w:szCs w:val="24"/>
        </w:rPr>
        <w:t xml:space="preserve">Qualité, retours et plaintes.</w:t>
      </w:r>
    </w:p>
    <w:p>
      <w:pPr>
        <w:spacing w:after="140"/>
      </w:pPr>
      <w:r>
        <w:rPr>
          <w:sz w:val="24"/>
          <w:szCs w:val="24"/>
        </w:rPr>
        <w:t xml:space="preserve">Fournisseurs alternatifs.</w:t>
      </w:r>
    </w:p>
    <w:p>
      <w:pPr>
        <w:spacing w:after="140"/>
      </w:pPr>
      <w:r>
        <w:rPr>
          <w:sz w:val="24"/>
          <w:szCs w:val="24"/>
        </w:rPr>
        <w:t xml:space="preserve">Dépendance envers une personne ou une machine.</w:t>
      </w:r>
    </w:p>
    <w:p>
      <w:pPr>
        <w:spacing w:after="140"/>
      </w:pPr>
      <w:r>
        <w:rPr>
          <w:sz w:val="24"/>
          <w:szCs w:val="24"/>
        </w:rPr>
        <w:t xml:space="preserve">Santé, sécurité et environnement.</w:t>
      </w:r>
    </w:p>
    <w:p>
      <w:pPr>
        <w:spacing w:after="140"/>
      </w:pPr>
      <w:r>
        <w:rPr>
          <w:sz w:val="24"/>
          <w:szCs w:val="24"/>
        </w:rPr>
        <w:t xml:space="preserve">Sanctions et conformité</w:t>
      </w:r>
    </w:p>
    <w:p>
      <w:pPr>
        <w:spacing w:after="140"/>
      </w:pPr>
      <w:r>
        <w:rPr>
          <w:sz w:val="24"/>
          <w:szCs w:val="24"/>
        </w:rPr>
        <w:t xml:space="preserve">Après l’allègement général, l’entreprise, les actionnaires, dirigeants, bénéficiaires effectifs, agents, fournisseurs et clients importants doivent toujours être contrôlés. Conservez une trace écrite de la date, des listes utilisées et du résultat. Une correspondance possible doit être étudiée par un spécialiste.</w:t>
      </w:r>
    </w:p>
    <w:p>
      <w:pPr>
        <w:spacing w:after="140"/>
      </w:pPr>
      <w:r>
        <w:rPr>
          <w:sz w:val="24"/>
          <w:szCs w:val="24"/>
        </w:rPr>
        <w:t xml:space="preserve">Une opération légalement permise peut être refusée par une banque. Cartographiez donc le compte émetteur, le bénéficiaire, la devise, la banque correspondante, la facture, l’origine des fonds et l’objet commercial.</w:t>
      </w:r>
    </w:p>
    <w:p>
      <w:pPr>
        <w:spacing w:after="140"/>
      </w:pPr>
      <w:r>
        <w:rPr>
          <w:sz w:val="24"/>
          <w:szCs w:val="24"/>
        </w:rPr>
        <w:t xml:space="preserve">Valorisation en environnement volatil</w:t>
      </w:r>
    </w:p>
    <w:p>
      <w:pPr>
        <w:spacing w:after="140"/>
      </w:pPr>
      <w:r>
        <w:rPr>
          <w:sz w:val="24"/>
          <w:szCs w:val="24"/>
        </w:rPr>
        <w:t xml:space="preserve">Un seul multiple de bénéfice peut être trompeur. Retirez les revenus exceptionnels, normalisez la rémunération du fondateur, calculez le coût de remplacement du stock et la maintenance différée. Combinez flux de trésorerie, multiples comparables, valeur des actifs, coût de remplacement et qualité des contrats.</w:t>
      </w:r>
    </w:p>
    <w:p>
      <w:pPr>
        <w:spacing w:after="140"/>
      </w:pPr>
      <w:r>
        <w:rPr>
          <w:sz w:val="24"/>
          <w:szCs w:val="24"/>
        </w:rPr>
        <w:t xml:space="preserve">Le prix peut être structuré : paiement à la clôture, complément lié à la performance et retenue pour les passifs cachés. Une augmentation de capital peut être préférable à l’achat des titres du fondateur, car l’argent finance la croissance.</w:t>
      </w:r>
    </w:p>
    <w:p>
      <w:pPr>
        <w:spacing w:after="140"/>
      </w:pPr>
      <w:r>
        <w:rPr>
          <w:sz w:val="24"/>
          <w:szCs w:val="24"/>
        </w:rPr>
        <w:t xml:space="preserve">Structuration et gouvernance</w:t>
      </w:r>
    </w:p>
    <w:p>
      <w:pPr>
        <w:spacing w:after="140"/>
      </w:pPr>
      <w:r>
        <w:rPr>
          <w:sz w:val="24"/>
          <w:szCs w:val="24"/>
        </w:rPr>
        <w:t xml:space="preserve">Le pourcentage ne suffit pas. Définissez le conseil, les décisions réservées, l’endettement, les dépenses, les rapports, l’audit, les opérations liées, le financement futur, la dilution, les droits de vente et la sortie. Consultez le guide de création d’entreprise.</w:t>
      </w:r>
    </w:p>
    <w:p>
      <w:pPr>
        <w:spacing w:after="140"/>
      </w:pPr>
      <w:r>
        <w:rPr>
          <w:sz w:val="24"/>
          <w:szCs w:val="24"/>
        </w:rPr>
        <w:t xml:space="preserve">Financement, devise et fonds de roulement</w:t>
      </w:r>
    </w:p>
    <w:p>
      <w:pPr>
        <w:spacing w:after="140"/>
      </w:pPr>
      <w:r>
        <w:rPr>
          <w:sz w:val="24"/>
          <w:szCs w:val="24"/>
        </w:rPr>
        <w:t xml:space="preserve">Une entreprise peut être rentable et manquer de trésorerie. Construisez un budget hebdomadaire pour six mois et mensuel sur trois ans. Identifiez la devise du capital, des revenus, des matières, des salaires et des impôts. Consultez le guide de financement de projet et le guide investissement-financement.</w:t>
      </w:r>
    </w:p>
    <w:p>
      <w:pPr>
        <w:spacing w:after="140"/>
      </w:pPr>
      <w:r>
        <w:rPr>
          <w:sz w:val="24"/>
          <w:szCs w:val="24"/>
        </w:rPr>
        <w:t xml:space="preserve">Choisir le partenaire local</w:t>
      </w:r>
    </w:p>
    <w:p>
      <w:pPr>
        <w:spacing w:after="140"/>
      </w:pPr>
      <w:r>
        <w:rPr>
          <w:sz w:val="24"/>
          <w:szCs w:val="24"/>
        </w:rPr>
        <w:t xml:space="preserve">Les relations ne remplacent pas les systèmes. Vérifiez l’historique d’exécution, le traitement des salariés et fournisseurs, la qualité des documents, la transparence et la capacité à déléguer. Demandez : quelle contribution hebdomadaire après la clôture ? Les relations appartiennent-elles à la société ou à la personne ? Que se passe-t-il si un financement supplémentaire est nécessaire ? Acceptez-vous un audit indépendant ?</w:t>
      </w:r>
    </w:p>
    <w:p>
      <w:pPr>
        <w:spacing w:after="140"/>
      </w:pPr>
      <w:r>
        <w:rPr>
          <w:sz w:val="24"/>
          <w:szCs w:val="24"/>
        </w:rPr>
        <w:t xml:space="preserve">Résilience opérationnelle</w:t>
      </w:r>
    </w:p>
    <w:p>
      <w:pPr>
        <w:spacing w:after="140"/>
      </w:pPr>
      <w:r>
        <w:rPr>
          <w:sz w:val="24"/>
          <w:szCs w:val="24"/>
        </w:rPr>
        <w:t xml:space="preserve">Deux sources pour les intrants critiques.</w:t>
      </w:r>
    </w:p>
    <w:p>
      <w:pPr>
        <w:spacing w:after="140"/>
      </w:pPr>
      <w:r>
        <w:rPr>
          <w:sz w:val="24"/>
          <w:szCs w:val="24"/>
        </w:rPr>
        <w:t xml:space="preserve">Énergie de secours avec coût réaliste.</w:t>
      </w:r>
    </w:p>
    <w:p>
      <w:pPr>
        <w:spacing w:after="140"/>
      </w:pPr>
      <w:r>
        <w:rPr>
          <w:sz w:val="24"/>
          <w:szCs w:val="24"/>
        </w:rPr>
        <w:t xml:space="preserve">Routes logistiques alternatives.</w:t>
      </w:r>
    </w:p>
    <w:p>
      <w:pPr>
        <w:spacing w:after="140"/>
      </w:pPr>
      <w:r>
        <w:rPr>
          <w:sz w:val="24"/>
          <w:szCs w:val="24"/>
        </w:rPr>
        <w:t xml:space="preserve">Procédures hors ligne en cas de panne numérique.</w:t>
      </w:r>
    </w:p>
    <w:p>
      <w:pPr>
        <w:spacing w:after="140"/>
      </w:pPr>
      <w:r>
        <w:rPr>
          <w:sz w:val="24"/>
          <w:szCs w:val="24"/>
        </w:rPr>
        <w:t xml:space="preserve">Formation croisée pour les postes critiques.</w:t>
      </w:r>
    </w:p>
    <w:p>
      <w:pPr>
        <w:spacing w:after="140"/>
      </w:pPr>
      <w:r>
        <w:rPr>
          <w:sz w:val="24"/>
          <w:szCs w:val="24"/>
        </w:rPr>
        <w:t xml:space="preserve">Clauses de prix liées à certains intrants.</w:t>
      </w:r>
    </w:p>
    <w:p>
      <w:pPr>
        <w:spacing w:after="140"/>
      </w:pPr>
      <w:r>
        <w:rPr>
          <w:sz w:val="24"/>
          <w:szCs w:val="24"/>
        </w:rPr>
        <w:t xml:space="preserve">Investissement responsable</w:t>
      </w:r>
    </w:p>
    <w:p>
      <w:pPr>
        <w:spacing w:after="140"/>
      </w:pPr>
      <w:r>
        <w:rPr>
          <w:sz w:val="24"/>
          <w:szCs w:val="24"/>
        </w:rPr>
        <w:t xml:space="preserve">Vérifiez l’origine des terrains et actifs, les droits des travailleurs, la sécurité, l’environnement et la non-discrimination. Un bien contesté, un procédé dangereux ou un fournisseur illégal crée des risques juridiques, financiers et de réputation. Mesurez les emplois formels, la formation, les achats locaux, la participation des femmes et des jeunes, ainsi que l’efficacité énergétique et hydrique.</w:t>
      </w:r>
    </w:p>
    <w:p>
      <w:pPr>
        <w:spacing w:after="140"/>
      </w:pPr>
      <w:r>
        <w:rPr>
          <w:sz w:val="24"/>
          <w:szCs w:val="24"/>
        </w:rPr>
        <w:t xml:space="preserve">Plan de 100 jours</w:t>
      </w:r>
    </w:p>
    <w:p>
      <w:pPr>
        <w:spacing w:after="140"/>
      </w:pPr>
      <w:r>
        <w:rPr>
          <w:sz w:val="24"/>
          <w:szCs w:val="24"/>
        </w:rPr>
        <w:t xml:space="preserve">1–15 : secteur, ville, client et dix cibles.</w:t>
      </w:r>
    </w:p>
    <w:p>
      <w:pPr>
        <w:spacing w:after="140"/>
      </w:pPr>
      <w:r>
        <w:rPr>
          <w:sz w:val="24"/>
          <w:szCs w:val="24"/>
        </w:rPr>
        <w:t xml:space="preserve">16–30 : entretiens avec clients, fournisseurs et experts.</w:t>
      </w:r>
    </w:p>
    <w:p>
      <w:pPr>
        <w:spacing w:after="140"/>
      </w:pPr>
      <w:r>
        <w:rPr>
          <w:sz w:val="24"/>
          <w:szCs w:val="24"/>
        </w:rPr>
        <w:t xml:space="preserve">31–45 : demande d’information et premier contrôle de conformité.</w:t>
      </w:r>
    </w:p>
    <w:p>
      <w:pPr>
        <w:spacing w:after="140"/>
      </w:pPr>
      <w:r>
        <w:rPr>
          <w:sz w:val="24"/>
          <w:szCs w:val="24"/>
        </w:rPr>
        <w:t xml:space="preserve">46–60 : visites et scénarios financiers.</w:t>
      </w:r>
    </w:p>
    <w:p>
      <w:pPr>
        <w:spacing w:after="140"/>
      </w:pPr>
      <w:r>
        <w:rPr>
          <w:sz w:val="24"/>
          <w:szCs w:val="24"/>
        </w:rPr>
        <w:t xml:space="preserve">61–70 : offre non contraignante.</w:t>
      </w:r>
    </w:p>
    <w:p>
      <w:pPr>
        <w:spacing w:after="140"/>
      </w:pPr>
      <w:r>
        <w:rPr>
          <w:sz w:val="24"/>
          <w:szCs w:val="24"/>
        </w:rPr>
        <w:t xml:space="preserve">71–85 : due diligence approfondie.</w:t>
      </w:r>
    </w:p>
    <w:p>
      <w:pPr>
        <w:spacing w:after="140"/>
      </w:pPr>
      <w:r>
        <w:rPr>
          <w:sz w:val="24"/>
          <w:szCs w:val="24"/>
        </w:rPr>
        <w:t xml:space="preserve">86–95 : conventions d’investissement et d’associés.</w:t>
      </w:r>
    </w:p>
    <w:p>
      <w:pPr>
        <w:spacing w:after="140"/>
      </w:pPr>
      <w:r>
        <w:rPr>
          <w:sz w:val="24"/>
          <w:szCs w:val="24"/>
        </w:rPr>
        <w:t xml:space="preserve">96–100 : conditions de clôture et plan des trente premiers jours.</w:t>
      </w:r>
    </w:p>
    <w:p>
      <w:pPr>
        <w:spacing w:after="140"/>
      </w:pPr>
      <w:r>
        <w:rPr>
          <w:sz w:val="24"/>
          <w:szCs w:val="24"/>
        </w:rPr>
        <w:t xml:space="preserve">Signaux d’alerte</w:t>
      </w:r>
    </w:p>
    <w:p>
      <w:pPr>
        <w:spacing w:after="140"/>
      </w:pPr>
      <w:r>
        <w:rPr>
          <w:sz w:val="24"/>
          <w:szCs w:val="24"/>
        </w:rPr>
        <w:t xml:space="preserve">Refus de divulguer les propriétaires ou les comptes.</w:t>
      </w:r>
    </w:p>
    <w:p>
      <w:pPr>
        <w:spacing w:after="140"/>
      </w:pPr>
      <w:r>
        <w:rPr>
          <w:sz w:val="24"/>
          <w:szCs w:val="24"/>
        </w:rPr>
        <w:t xml:space="preserve">Ventes importantes sans factures ni encaissements.</w:t>
      </w:r>
    </w:p>
    <w:p>
      <w:pPr>
        <w:spacing w:after="140"/>
      </w:pPr>
      <w:r>
        <w:rPr>
          <w:sz w:val="24"/>
          <w:szCs w:val="24"/>
        </w:rPr>
        <w:t xml:space="preserve">Utilisation de comptes personnels.</w:t>
      </w:r>
    </w:p>
    <w:p>
      <w:pPr>
        <w:spacing w:after="140"/>
      </w:pPr>
      <w:r>
        <w:rPr>
          <w:sz w:val="24"/>
          <w:szCs w:val="24"/>
        </w:rPr>
        <w:t xml:space="preserve">Activité hors licence.</w:t>
      </w:r>
    </w:p>
    <w:p>
      <w:pPr>
        <w:spacing w:after="140"/>
      </w:pPr>
      <w:r>
        <w:rPr>
          <w:sz w:val="24"/>
          <w:szCs w:val="24"/>
        </w:rPr>
        <w:t xml:space="preserve">Dépendance totale envers un client ou une personne.</w:t>
      </w:r>
    </w:p>
    <w:p>
      <w:pPr>
        <w:spacing w:after="140"/>
      </w:pPr>
      <w:r>
        <w:rPr>
          <w:sz w:val="24"/>
          <w:szCs w:val="24"/>
        </w:rPr>
        <w:t xml:space="preserve">Refus du contrôle sanctions.</w:t>
      </w:r>
    </w:p>
    <w:p>
      <w:pPr>
        <w:spacing w:after="140"/>
      </w:pPr>
      <w:r>
        <w:rPr>
          <w:sz w:val="24"/>
          <w:szCs w:val="24"/>
        </w:rPr>
        <w:t xml:space="preserve">Pression pour payer immédiatement.</w:t>
      </w:r>
    </w:p>
    <w:p>
      <w:pPr>
        <w:spacing w:after="140"/>
      </w:pPr>
      <w:r>
        <w:rPr>
          <w:sz w:val="24"/>
          <w:szCs w:val="24"/>
        </w:rPr>
        <w:t xml:space="preserve">Garantie publique ou bancaire invérifiable.</w:t>
      </w:r>
    </w:p>
    <w:p>
      <w:pPr>
        <w:spacing w:after="140"/>
      </w:pPr>
      <w:r>
        <w:rPr>
          <w:sz w:val="24"/>
          <w:szCs w:val="24"/>
        </w:rPr>
        <w:t xml:space="preserve">25 questions avant signature</w:t>
      </w:r>
    </w:p>
    <w:p>
      <w:pPr>
        <w:spacing w:after="140"/>
      </w:pPr>
      <w:r>
        <w:rPr>
          <w:sz w:val="24"/>
          <w:szCs w:val="24"/>
        </w:rPr>
        <w:t xml:space="preserve">Qui contrôle réellement la société ?</w:t>
      </w:r>
    </w:p>
    <w:p>
      <w:pPr>
        <w:spacing w:after="140"/>
      </w:pPr>
      <w:r>
        <w:rPr>
          <w:sz w:val="24"/>
          <w:szCs w:val="24"/>
        </w:rPr>
        <w:t xml:space="preserve">D’où vient 80 % du revenu ?</w:t>
      </w:r>
    </w:p>
    <w:p>
      <w:pPr>
        <w:spacing w:after="140"/>
      </w:pPr>
      <w:r>
        <w:rPr>
          <w:sz w:val="24"/>
          <w:szCs w:val="24"/>
        </w:rPr>
        <w:t xml:space="preserve">Quelle part des ventes devient du cash ?</w:t>
      </w:r>
    </w:p>
    <w:p>
      <w:pPr>
        <w:spacing w:after="140"/>
      </w:pPr>
      <w:r>
        <w:rPr>
          <w:sz w:val="24"/>
          <w:szCs w:val="24"/>
        </w:rPr>
        <w:t xml:space="preserve">Le prix couvre-t-il le remplacement du stock ?</w:t>
      </w:r>
    </w:p>
    <w:p>
      <w:pPr>
        <w:spacing w:after="140"/>
      </w:pPr>
      <w:r>
        <w:rPr>
          <w:sz w:val="24"/>
          <w:szCs w:val="24"/>
        </w:rPr>
        <w:t xml:space="preserve">Quels sont les passifs cachés ?</w:t>
      </w:r>
    </w:p>
    <w:p>
      <w:pPr>
        <w:spacing w:after="140"/>
      </w:pPr>
      <w:r>
        <w:rPr>
          <w:sz w:val="24"/>
          <w:szCs w:val="24"/>
        </w:rPr>
        <w:t xml:space="preserve">Les actifs appartiennent-ils à la société ?</w:t>
      </w:r>
    </w:p>
    <w:p>
      <w:pPr>
        <w:spacing w:after="140"/>
      </w:pPr>
      <w:r>
        <w:rPr>
          <w:sz w:val="24"/>
          <w:szCs w:val="24"/>
        </w:rPr>
        <w:t xml:space="preserve">Les licences couvrent-elles l’activité ?</w:t>
      </w:r>
    </w:p>
    <w:p>
      <w:pPr>
        <w:spacing w:after="140"/>
      </w:pPr>
      <w:r>
        <w:rPr>
          <w:sz w:val="24"/>
          <w:szCs w:val="24"/>
        </w:rPr>
        <w:t xml:space="preserve">Que se passe-t-il sans électricité ?</w:t>
      </w:r>
    </w:p>
    <w:p>
      <w:pPr>
        <w:spacing w:after="140"/>
      </w:pPr>
      <w:r>
        <w:rPr>
          <w:sz w:val="24"/>
          <w:szCs w:val="24"/>
        </w:rPr>
        <w:t xml:space="preserve">Existe-t-il un fournisseur alternatif ?</w:t>
      </w:r>
    </w:p>
    <w:p>
      <w:pPr>
        <w:spacing w:after="140"/>
      </w:pPr>
      <w:r>
        <w:rPr>
          <w:sz w:val="24"/>
          <w:szCs w:val="24"/>
        </w:rPr>
        <w:t xml:space="preserve">La société fonctionne-t-elle sans le fondateur ?</w:t>
      </w:r>
    </w:p>
    <w:p>
      <w:pPr>
        <w:spacing w:after="140"/>
      </w:pPr>
      <w:r>
        <w:rPr>
          <w:sz w:val="24"/>
          <w:szCs w:val="24"/>
        </w:rPr>
        <w:t xml:space="preserve">Pourquoi les clients restent-ils ?</w:t>
      </w:r>
    </w:p>
    <w:p>
      <w:pPr>
        <w:spacing w:after="140"/>
      </w:pPr>
      <w:r>
        <w:rPr>
          <w:sz w:val="24"/>
          <w:szCs w:val="24"/>
        </w:rPr>
        <w:t xml:space="preserve">Comment résilier les contrats clés ?</w:t>
      </w:r>
    </w:p>
    <w:p>
      <w:pPr>
        <w:spacing w:after="140"/>
      </w:pPr>
      <w:r>
        <w:rPr>
          <w:sz w:val="24"/>
          <w:szCs w:val="24"/>
        </w:rPr>
        <w:t xml:space="preserve">Y a-t-il des opérations liées ?</w:t>
      </w:r>
    </w:p>
    <w:p>
      <w:pPr>
        <w:spacing w:after="140"/>
      </w:pPr>
      <w:r>
        <w:rPr>
          <w:sz w:val="24"/>
          <w:szCs w:val="24"/>
        </w:rPr>
        <w:t xml:space="preserve">Comment les fonds seront-ils transférés ?</w:t>
      </w:r>
    </w:p>
    <w:p>
      <w:pPr>
        <w:spacing w:after="140"/>
      </w:pPr>
      <w:r>
        <w:rPr>
          <w:sz w:val="24"/>
          <w:szCs w:val="24"/>
        </w:rPr>
        <w:t xml:space="preserve">La banque a-t-elle examiné le type d’opération ?</w:t>
      </w:r>
    </w:p>
    <w:p>
      <w:pPr>
        <w:spacing w:after="140"/>
      </w:pPr>
      <w:r>
        <w:rPr>
          <w:sz w:val="24"/>
          <w:szCs w:val="24"/>
        </w:rPr>
        <w:t xml:space="preserve">Toutes les parties ont-elles été contrôlées ?</w:t>
      </w:r>
    </w:p>
    <w:p>
      <w:pPr>
        <w:spacing w:after="140"/>
      </w:pPr>
      <w:r>
        <w:rPr>
          <w:sz w:val="24"/>
          <w:szCs w:val="24"/>
        </w:rPr>
        <w:t xml:space="preserve">Quels impôts et pénalités possibles ?</w:t>
      </w:r>
    </w:p>
    <w:p>
      <w:pPr>
        <w:spacing w:after="140"/>
      </w:pPr>
      <w:r>
        <w:rPr>
          <w:sz w:val="24"/>
          <w:szCs w:val="24"/>
        </w:rPr>
        <w:t xml:space="preserve">Comment chaque montant sera-t-il utilisé ?</w:t>
      </w:r>
    </w:p>
    <w:p>
      <w:pPr>
        <w:spacing w:after="140"/>
      </w:pPr>
      <w:r>
        <w:rPr>
          <w:sz w:val="24"/>
          <w:szCs w:val="24"/>
        </w:rPr>
        <w:t xml:space="preserve">Quels indicateurs pour la première année ?</w:t>
      </w:r>
    </w:p>
    <w:p>
      <w:pPr>
        <w:spacing w:after="140"/>
      </w:pPr>
      <w:r>
        <w:rPr>
          <w:sz w:val="24"/>
          <w:szCs w:val="24"/>
        </w:rPr>
        <w:t xml:space="preserve">Qui approuve les dépenses majeures ?</w:t>
      </w:r>
    </w:p>
    <w:p>
      <w:pPr>
        <w:spacing w:after="140"/>
      </w:pPr>
      <w:r>
        <w:rPr>
          <w:sz w:val="24"/>
          <w:szCs w:val="24"/>
        </w:rPr>
        <w:t xml:space="preserve">Que se passe-t-il si un second financement est requis ?</w:t>
      </w:r>
    </w:p>
    <w:p>
      <w:pPr>
        <w:spacing w:after="140"/>
      </w:pPr>
      <w:r>
        <w:rPr>
          <w:sz w:val="24"/>
          <w:szCs w:val="24"/>
        </w:rPr>
        <w:t xml:space="preserve">L’investisseur accède-t-il aux comptes et sites ?</w:t>
      </w:r>
    </w:p>
    <w:p>
      <w:pPr>
        <w:spacing w:after="140"/>
      </w:pPr>
      <w:r>
        <w:rPr>
          <w:sz w:val="24"/>
          <w:szCs w:val="24"/>
        </w:rPr>
        <w:t xml:space="preserve">Où résoudre les litiges ?</w:t>
      </w:r>
    </w:p>
    <w:p>
      <w:pPr>
        <w:spacing w:after="140"/>
      </w:pPr>
      <w:r>
        <w:rPr>
          <w:sz w:val="24"/>
          <w:szCs w:val="24"/>
        </w:rPr>
        <w:t xml:space="preserve">Quelle sortie ?</w:t>
      </w:r>
    </w:p>
    <w:p>
      <w:pPr>
        <w:spacing w:after="140"/>
      </w:pPr>
      <w:r>
        <w:rPr>
          <w:sz w:val="24"/>
          <w:szCs w:val="24"/>
        </w:rPr>
        <w:t xml:space="preserve">L’investissement crée-t-il une valeur locale réelle ?</w:t>
      </w:r>
    </w:p>
    <w:p>
      <w:pPr>
        <w:spacing w:after="140"/>
      </w:pPr>
      <w:r>
        <w:rPr>
          <w:sz w:val="24"/>
          <w:szCs w:val="24"/>
        </w:rPr>
        <w:t xml:space="preserve">Ressources</w:t>
      </w:r>
    </w:p>
    <w:p>
      <w:pPr>
        <w:spacing w:after="140"/>
      </w:pPr>
      <w:r>
        <w:rPr>
          <w:sz w:val="24"/>
          <w:szCs w:val="24"/>
        </w:rPr>
        <w:t xml:space="preserve">Économie syrienne</w:t>
      </w:r>
    </w:p>
    <w:p>
      <w:pPr>
        <w:spacing w:after="140"/>
      </w:pPr>
      <w:r>
        <w:rPr>
          <w:sz w:val="24"/>
          <w:szCs w:val="24"/>
        </w:rPr>
        <w:t xml:space="preserve">Investissement et financement</w:t>
      </w:r>
    </w:p>
    <w:p>
      <w:pPr>
        <w:spacing w:after="140"/>
      </w:pPr>
      <w:r>
        <w:rPr>
          <w:sz w:val="24"/>
          <w:szCs w:val="24"/>
        </w:rPr>
        <w:t xml:space="preserve">Création d’entreprise</w:t>
      </w:r>
    </w:p>
    <w:p>
      <w:pPr>
        <w:spacing w:after="140"/>
      </w:pPr>
      <w:r>
        <w:rPr>
          <w:sz w:val="24"/>
          <w:szCs w:val="24"/>
        </w:rPr>
        <w:t xml:space="preserve">Annuaire des entreprises</w:t>
      </w:r>
    </w:p>
    <w:p>
      <w:pPr>
        <w:spacing w:after="140"/>
      </w:pPr>
      <w:r>
        <w:rPr>
          <w:sz w:val="24"/>
          <w:szCs w:val="24"/>
        </w:rPr>
        <w:t xml:space="preserve">Banque mondiale – Syrie</w:t>
      </w:r>
    </w:p>
    <w:p>
      <w:pPr>
        <w:spacing w:after="140"/>
      </w:pPr>
      <w:r>
        <w:rPr>
          <w:sz w:val="24"/>
          <w:szCs w:val="24"/>
        </w:rPr>
        <w:t xml:space="preserve">Dialogue du secteur privé 2026</w:t>
      </w:r>
    </w:p>
    <w:p>
      <w:pPr>
        <w:spacing w:after="140"/>
      </w:pPr>
      <w:r>
        <w:rPr>
          <w:sz w:val="24"/>
          <w:szCs w:val="24"/>
        </w:rPr>
        <w:t xml:space="preserve">Trésor américain – allègement des sanctions</w:t>
      </w:r>
    </w:p>
    <w:p>
      <w:pPr>
        <w:spacing w:after="140"/>
      </w:pPr>
      <w:r>
        <w:rPr>
          <w:sz w:val="24"/>
          <w:szCs w:val="24"/>
        </w:rPr>
        <w:t xml:space="preserve">Conseil de l’UE – mise à jour</w:t>
      </w:r>
    </w:p>
    <w:p>
      <w:pPr>
        <w:spacing w:after="140"/>
      </w:pPr>
      <w:r>
        <w:rPr>
          <w:sz w:val="24"/>
          <w:szCs w:val="24"/>
        </w:rPr>
        <w:t xml:space="preserve">Conclusion</w:t>
      </w:r>
    </w:p>
    <w:p>
      <w:pPr>
        <w:spacing w:after="140"/>
      </w:pPr>
      <w:r>
        <w:rPr>
          <w:sz w:val="24"/>
          <w:szCs w:val="24"/>
        </w:rPr>
        <w:t xml:space="preserve">L’opportunité n’est pas l’hypothèse que tout actif prendra de la valeur. Elle apparaît lorsqu’un problème solvable, un partenaire compétent, des actifs prouvés, des contrats solides, un fonds de roulement suffisant et une gouvernance claire sont réunis. Lorsque l’information est limitée, commencez petit, testez et liez le capital supplémentaire à des résultats mesurables.</w:t>
      </w:r>
    </w:p>
    <w:p>
      <w:pPr>
        <w:spacing w:after="140"/>
      </w:pPr>
      <w:r>
        <w:rPr>
          <w:sz w:val="24"/>
          <w:szCs w:val="24"/>
        </w:rPr>
        <w:t xml:space="preserve">L’investissement le plus durable combine rendement, continuité, responsabilité et valeur ajoutée locale. L’investisseur devient alors non seulement un financeur, mais un partenaire de construction d’une entreprise plus forte et d’un marché mieux organisé.</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Investir dans les entreprises syriennes en 2026 : entrée sur le marché, partenaire et structuration</dc:title>
  <dc:creator>Bsouria Editorial</dc:creator>
  <cp:lastModifiedBy>Bsouria</cp:lastModifiedBy>
  <dcterms:created xsi:type="dcterms:W3CDTF">2026-09-15T14:27:56Z</dcterms:created>
</cp:coreProperties>
</file>