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Investissement immobilier en Syrie 2026 : titre, valorisation et rendement</w:t>
      </w:r>
    </w:p>
    <w:p>
      <w:pPr/>
      <w:r>
        <w:rPr>
          <w:i/>
          <w:color w:val="64736B"/>
        </w:rPr>
        <w:t>Bsouria Editorial Team · 2026-07-26</w:t>
      </w:r>
    </w:p>
    <w:p>
      <w:pPr>
        <w:spacing w:after="220"/>
      </w:pPr>
      <w:r>
        <w:rPr>
          <w:i/>
        </w:rPr>
        <w:t>Guide pratique du titre, contrat, urbanisme, valorisation, rendement locatif et diligence immobilière en Syrie.</w:t>
      </w:r>
    </w:p>
    <w:p>
      <w:pPr>
        <w:spacing w:after="140"/>
      </w:pPr>
      <w:r>
        <w:rPr>
          <w:sz w:val="24"/>
          <w:szCs w:val="24"/>
        </w:rPr>
        <w:t xml:space="preserve">En Syrie, l’immobilier peut être un actif familial, un investissement locatif ou une composante de la reconstruction. Il peut aussi devenir un litige coûteux lorsque l’acheteur regarde le prix et néglige le titre, l’urbanisme, l’occupation, les services et la trésorerie.</w:t>
      </w:r>
    </w:p>
    <w:p>
      <w:pPr>
        <w:spacing w:after="140"/>
      </w:pPr>
      <w:r>
        <w:rPr>
          <w:sz w:val="24"/>
          <w:szCs w:val="24"/>
        </w:rPr>
        <w:t xml:space="preserve">Note professionnelle : Les opérations complexes exigent l’examen des documents par un avocat, un ingénieur et un évaluateur indépendants.</w:t>
      </w:r>
    </w:p>
    <w:p>
      <w:pPr>
        <w:spacing w:after="140"/>
      </w:pPr>
      <w:r>
        <w:rPr>
          <w:sz w:val="24"/>
          <w:szCs w:val="24"/>
        </w:rPr>
        <w:t xml:space="preserve">Il n’existe pas un marché immobilier syrien unique</w:t>
      </w:r>
    </w:p>
    <w:p>
      <w:pPr>
        <w:spacing w:after="140"/>
      </w:pPr>
      <w:r>
        <w:rPr>
          <w:sz w:val="24"/>
          <w:szCs w:val="24"/>
        </w:rPr>
        <w:t xml:space="preserve">Damas, sa campagne, Alep, Homs, Lattaquié ou Tartous présentent des dynamiques différentes. Deux biens voisins peuvent avoir une valeur et un risque très différents selon le titre, l’urbanisme, l’occupation, les services et l’état du bâtiment.</w:t>
      </w:r>
    </w:p>
    <w:p>
      <w:pPr>
        <w:spacing w:after="140"/>
      </w:pPr>
      <w:r>
        <w:rPr>
          <w:sz w:val="24"/>
          <w:szCs w:val="24"/>
        </w:rPr>
        <w:t xml:space="preserve">La bonne première question n’est pas seulement le prix au mètre carré, mais la nature exacte du droit acquis.</w:t>
      </w:r>
    </w:p>
    <w:p>
      <w:pPr>
        <w:spacing w:after="140"/>
      </w:pPr>
      <w:r>
        <w:rPr>
          <w:sz w:val="24"/>
          <w:szCs w:val="24"/>
        </w:rPr>
        <w:t xml:space="preserve">Vérifier la propriété avant tout acompte</w:t>
      </w:r>
    </w:p>
    <w:p>
      <w:pPr>
        <w:spacing w:after="140"/>
      </w:pPr>
      <w:r>
        <w:rPr>
          <w:sz w:val="24"/>
          <w:szCs w:val="24"/>
        </w:rPr>
        <w:t xml:space="preserve">Demandez un extrait foncier récent et contrôlez propriétaire, parcelle, quote-part, hypothèques, saisies, litiges, usufruit et servitudes. En cas de procuration, vérifiez l’original, la portée, la date et l’absence de révocation.</w:t>
      </w:r>
    </w:p>
    <w:p>
      <w:pPr>
        <w:spacing w:after="140"/>
      </w:pPr>
      <w:r>
        <w:rPr>
          <w:sz w:val="24"/>
          <w:szCs w:val="24"/>
        </w:rPr>
        <w:t xml:space="preserve">Un contrat privé n’équivaut pas à l’inscription</w:t>
      </w:r>
    </w:p>
    <w:p>
      <w:pPr>
        <w:spacing w:after="140"/>
      </w:pPr>
      <w:r>
        <w:rPr>
          <w:sz w:val="24"/>
          <w:szCs w:val="24"/>
        </w:rPr>
        <w:t xml:space="preserve">Un reçu ou une promesse peut créer des droits contractuels sans produire les mêmes effets qu’un transfert enregistré. Le contrat doit préciser procédure, délais, documents, taxes, remise des clés et recours.</w:t>
      </w:r>
    </w:p>
    <w:p>
      <w:pPr>
        <w:spacing w:after="140"/>
      </w:pPr>
      <w:r>
        <w:rPr>
          <w:sz w:val="24"/>
          <w:szCs w:val="24"/>
        </w:rPr>
        <w:t xml:space="preserve">Évaluer le bien plutôt que le discours commercial</w:t>
      </w:r>
    </w:p>
    <w:p>
      <w:pPr>
        <w:spacing w:after="140"/>
      </w:pPr>
      <w:r>
        <w:rPr>
          <w:sz w:val="24"/>
          <w:szCs w:val="24"/>
        </w:rPr>
        <w:t xml:space="preserve">Comparez offres, transactions réelles et coût de remplacement. Ajustez pour emplacement, âge, étage, ascenseur, parking, travaux, statut juridique, services et demande locative.</w:t>
      </w:r>
    </w:p>
    <w:p>
      <w:pPr>
        <w:spacing w:after="140"/>
      </w:pPr>
      <w:r>
        <w:rPr>
          <w:sz w:val="24"/>
          <w:szCs w:val="24"/>
        </w:rPr>
        <w:t xml:space="preserve">Calculer un rendement locatif net</w:t>
      </w:r>
    </w:p>
    <w:p>
      <w:pPr>
        <w:spacing w:after="140"/>
      </w:pPr>
      <w:r>
        <w:rPr>
          <w:sz w:val="24"/>
          <w:szCs w:val="24"/>
        </w:rPr>
        <w:t xml:space="preserve">Déduisez vacance, entretien, gestion, fiscalité, équipement, risque d’impayé et délai avant mise en location. Testez un scénario prudent avec loyer plus faible et réparation importante.</w:t>
      </w:r>
    </w:p>
    <w:p>
      <w:pPr>
        <w:spacing w:after="140"/>
      </w:pPr>
      <w:r>
        <w:rPr>
          <w:sz w:val="24"/>
          <w:szCs w:val="24"/>
        </w:rPr>
        <w:t xml:space="preserve">Promotion immobilière et vente sur plan</w:t>
      </w:r>
    </w:p>
    <w:p>
      <w:pPr>
        <w:spacing w:after="140"/>
      </w:pPr>
      <w:r>
        <w:rPr>
          <w:sz w:val="24"/>
          <w:szCs w:val="24"/>
        </w:rPr>
        <w:t xml:space="preserve">Vérifiez droit sur le terrain, zonage, promoteur agréé, permis, financement, contrôle des travaux et protection des acheteurs. Le contrat doit détailler spécifications, étapes, retard, modifications et remboursement.</w:t>
      </w:r>
    </w:p>
    <w:p>
      <w:pPr>
        <w:spacing w:after="140"/>
      </w:pPr>
      <w:r>
        <w:rPr>
          <w:sz w:val="24"/>
          <w:szCs w:val="24"/>
        </w:rPr>
        <w:t xml:space="preserve">Le besoin de reconstruction ne garantit pas le rendement</w:t>
      </w:r>
    </w:p>
    <w:p>
      <w:pPr>
        <w:spacing w:after="140"/>
      </w:pPr>
      <w:r>
        <w:rPr>
          <w:sz w:val="24"/>
          <w:szCs w:val="24"/>
        </w:rPr>
        <w:t xml:space="preserve">L’ampleur des besoins ne rend pas chaque projet rentable. Il faut tester titre, infrastructures, solvabilité des clients, financement, permis, matériaux et calendrier.</w:t>
      </w:r>
    </w:p>
    <w:p>
      <w:pPr>
        <w:spacing w:after="140"/>
      </w:pPr>
      <w:r>
        <w:rPr>
          <w:sz w:val="24"/>
          <w:szCs w:val="24"/>
        </w:rPr>
        <w:t xml:space="preserve">Investisseurs établis à l’étranger</w:t>
      </w:r>
    </w:p>
    <w:p>
      <w:pPr>
        <w:spacing w:after="140"/>
      </w:pPr>
      <w:r>
        <w:rPr>
          <w:sz w:val="24"/>
          <w:szCs w:val="24"/>
        </w:rPr>
        <w:t xml:space="preserve">Contrôlez admissibilité, circuits bancaires, origine des fonds, fiscalité, procurations, conformité sanctions et rapatriement des capitaux. Utilisez des conseils indépendants du vendeur.</w:t>
      </w:r>
    </w:p>
    <w:p>
      <w:pPr>
        <w:spacing w:after="140"/>
      </w:pPr>
      <w:r>
        <w:rPr>
          <w:sz w:val="24"/>
          <w:szCs w:val="24"/>
        </w:rPr>
        <w:t xml:space="preserve">Signaux d’alerte</w:t>
      </w:r>
    </w:p>
    <w:p>
      <w:pPr>
        <w:spacing w:after="140"/>
      </w:pPr>
      <w:r>
        <w:rPr>
          <w:sz w:val="24"/>
          <w:szCs w:val="24"/>
        </w:rPr>
        <w:t xml:space="preserve">Absence d’extrait récent.</w:t>
      </w:r>
    </w:p>
    <w:p>
      <w:pPr>
        <w:spacing w:after="140"/>
      </w:pPr>
      <w:r>
        <w:rPr>
          <w:sz w:val="24"/>
          <w:szCs w:val="24"/>
        </w:rPr>
        <w:t xml:space="preserve">Pression pour payer.</w:t>
      </w:r>
    </w:p>
    <w:p>
      <w:pPr>
        <w:spacing w:after="140"/>
      </w:pPr>
      <w:r>
        <w:rPr>
          <w:sz w:val="24"/>
          <w:szCs w:val="24"/>
        </w:rPr>
        <w:t xml:space="preserve">Incohérence de propriétaire ou de surface.</w:t>
      </w:r>
    </w:p>
    <w:p>
      <w:pPr>
        <w:spacing w:after="140"/>
      </w:pPr>
      <w:r>
        <w:rPr>
          <w:sz w:val="24"/>
          <w:szCs w:val="24"/>
        </w:rPr>
        <w:t xml:space="preserve">Rendement garanti.</w:t>
      </w:r>
    </w:p>
    <w:p>
      <w:pPr>
        <w:spacing w:after="140"/>
      </w:pPr>
      <w:r>
        <w:rPr>
          <w:sz w:val="24"/>
          <w:szCs w:val="24"/>
        </w:rPr>
        <w:t xml:space="preserve">Extensions non autorisées.</w:t>
      </w:r>
    </w:p>
    <w:p>
      <w:pPr>
        <w:spacing w:after="140"/>
      </w:pPr>
      <w:r>
        <w:rPr>
          <w:sz w:val="24"/>
          <w:szCs w:val="24"/>
        </w:rPr>
        <w:t xml:space="preserve">Occupants sans droits clairs.</w:t>
      </w:r>
    </w:p>
    <w:p>
      <w:pPr>
        <w:spacing w:after="140"/>
      </w:pPr>
      <w:r>
        <w:rPr>
          <w:sz w:val="24"/>
          <w:szCs w:val="24"/>
        </w:rPr>
        <w:t xml:space="preserve">Prix anormalement bas sans preuve.</w:t>
      </w:r>
    </w:p>
    <w:p>
      <w:pPr>
        <w:spacing w:after="140"/>
      </w:pPr>
      <w:r>
        <w:rPr>
          <w:sz w:val="24"/>
          <w:szCs w:val="24"/>
        </w:rPr>
        <w:t xml:space="preserve">Liste de contrôle</w:t>
      </w:r>
    </w:p>
    <w:p>
      <w:pPr>
        <w:spacing w:after="140"/>
      </w:pPr>
      <w:r>
        <w:rPr>
          <w:sz w:val="24"/>
          <w:szCs w:val="24"/>
        </w:rPr>
        <w:t xml:space="preserve">Définir l’objectif.</w:t>
      </w:r>
    </w:p>
    <w:p>
      <w:pPr>
        <w:spacing w:after="140"/>
      </w:pPr>
      <w:r>
        <w:rPr>
          <w:sz w:val="24"/>
          <w:szCs w:val="24"/>
        </w:rPr>
        <w:t xml:space="preserve">Vérifier titre et charges.</w:t>
      </w:r>
    </w:p>
    <w:p>
      <w:pPr>
        <w:spacing w:after="140"/>
      </w:pPr>
      <w:r>
        <w:rPr>
          <w:sz w:val="24"/>
          <w:szCs w:val="24"/>
        </w:rPr>
        <w:t xml:space="preserve">Commander contrôles juridique et technique.</w:t>
      </w:r>
    </w:p>
    <w:p>
      <w:pPr>
        <w:spacing w:after="140"/>
      </w:pPr>
      <w:r>
        <w:rPr>
          <w:sz w:val="24"/>
          <w:szCs w:val="24"/>
        </w:rPr>
        <w:t xml:space="preserve">Confirmer urbanisme et usage.</w:t>
      </w:r>
    </w:p>
    <w:p>
      <w:pPr>
        <w:spacing w:after="140"/>
      </w:pPr>
      <w:r>
        <w:rPr>
          <w:sz w:val="24"/>
          <w:szCs w:val="24"/>
        </w:rPr>
        <w:t xml:space="preserve">Calculer le coût total.</w:t>
      </w:r>
    </w:p>
    <w:p>
      <w:pPr>
        <w:spacing w:after="140"/>
      </w:pPr>
      <w:r>
        <w:rPr>
          <w:sz w:val="24"/>
          <w:szCs w:val="24"/>
        </w:rPr>
        <w:t xml:space="preserve">Échelonner les paiements.</w:t>
      </w:r>
    </w:p>
    <w:p>
      <w:pPr>
        <w:spacing w:after="140"/>
      </w:pPr>
      <w:r>
        <w:rPr>
          <w:sz w:val="24"/>
          <w:szCs w:val="24"/>
        </w:rPr>
        <w:t xml:space="preserve">Confirmer taxes et frais.</w:t>
      </w:r>
    </w:p>
    <w:p>
      <w:pPr>
        <w:spacing w:after="140"/>
      </w:pPr>
      <w:r>
        <w:rPr>
          <w:sz w:val="24"/>
          <w:szCs w:val="24"/>
        </w:rPr>
        <w:t xml:space="preserve">Planifier inscription et possession.</w:t>
      </w:r>
    </w:p>
    <w:p>
      <w:pPr>
        <w:spacing w:after="140"/>
      </w:pPr>
      <w:r>
        <w:rPr>
          <w:sz w:val="24"/>
          <w:szCs w:val="24"/>
        </w:rPr>
        <w:t xml:space="preserve">Créer une salle de données</w:t>
      </w:r>
    </w:p>
    <w:p>
      <w:pPr>
        <w:spacing w:after="140"/>
      </w:pPr>
      <w:r>
        <w:rPr>
          <w:sz w:val="24"/>
          <w:szCs w:val="24"/>
        </w:rPr>
        <w:t xml:space="preserve">Classez extrait foncier, plan cadastral, permis, quitus éventuel, baux, factures, photographies datées, rapports d’entretien et correspondances officielles. Indiquez clairement originaux, copies et affirmations non vérifiées.</w:t>
      </w:r>
    </w:p>
    <w:p>
      <w:pPr>
        <w:spacing w:after="140"/>
      </w:pPr>
      <w:r>
        <w:rPr>
          <w:sz w:val="24"/>
          <w:szCs w:val="24"/>
        </w:rPr>
        <w:t xml:space="preserve">Même l’acheteur d’un appartement doit conserver un dossier utilisable pour l’inscription, la revente et un éventuel litige.</w:t>
      </w:r>
    </w:p>
    <w:p>
      <w:pPr>
        <w:spacing w:after="140"/>
      </w:pPr>
      <w:r>
        <w:rPr>
          <w:sz w:val="24"/>
          <w:szCs w:val="24"/>
        </w:rPr>
        <w:t xml:space="preserve">Budget de rénovation et contrôle de l’entrepreneur</w:t>
      </w:r>
    </w:p>
    <w:p>
      <w:pPr>
        <w:spacing w:after="140"/>
      </w:pPr>
      <w:r>
        <w:rPr>
          <w:sz w:val="24"/>
          <w:szCs w:val="24"/>
        </w:rPr>
        <w:t xml:space="preserve">Contrôlez électricité, plomberie, étanchéité, toiture, structure et ascenseur. Ajoutez une réserve pour défauts cachés, transport, pertes, main-d’œuvre, retard et permis.</w:t>
      </w:r>
    </w:p>
    <w:p>
      <w:pPr>
        <w:spacing w:after="140"/>
      </w:pPr>
      <w:r>
        <w:rPr>
          <w:sz w:val="24"/>
          <w:szCs w:val="24"/>
        </w:rPr>
        <w:t xml:space="preserve">Le contrat doit fixer quantités, qualité, étapes, tests, garantie et réception; les paiements doivent suivre l’avancement mesurable.</w:t>
      </w:r>
    </w:p>
    <w:p>
      <w:pPr>
        <w:spacing w:after="140"/>
      </w:pPr>
      <w:r>
        <w:rPr>
          <w:sz w:val="24"/>
          <w:szCs w:val="24"/>
        </w:rPr>
        <w:t xml:space="preserve">Exemple chiffré</w:t>
      </w:r>
    </w:p>
    <w:p>
      <w:pPr>
        <w:spacing w:after="140"/>
      </w:pPr>
      <w:r>
        <w:rPr>
          <w:sz w:val="24"/>
          <w:szCs w:val="24"/>
        </w:rPr>
        <w:t xml:space="preserve">Avec un prix de 100, des frais de 5, des travaux de 20 et six mois d’indisponibilité, le coût réel dépasse 100. Un loyer net annuel de 8 doit être comparé au capital total investi.</w:t>
      </w:r>
    </w:p>
    <w:p>
      <w:pPr>
        <w:spacing w:after="140"/>
      </w:pPr>
      <w:r>
        <w:rPr>
          <w:sz w:val="24"/>
          <w:szCs w:val="24"/>
        </w:rPr>
        <w:t xml:space="preserve">Les 90 premiers jours</w:t>
      </w:r>
    </w:p>
    <w:p>
      <w:pPr>
        <w:spacing w:after="140"/>
      </w:pPr>
      <w:r>
        <w:rPr>
          <w:sz w:val="24"/>
          <w:szCs w:val="24"/>
        </w:rPr>
        <w:t xml:space="preserve">Finalisez inscription et possession, transférez les services, documentez l’état, établissez la maintenance et le suivi des recettes et dépenses. Comparez ensuite le modèle aux résultats réels.</w:t>
      </w:r>
    </w:p>
    <w:p>
      <w:pPr>
        <w:spacing w:after="140"/>
      </w:pPr>
      <w:r>
        <w:rPr>
          <w:sz w:val="24"/>
          <w:szCs w:val="24"/>
        </w:rPr>
        <w:t xml:space="preserve">Sources externes fiables</w:t>
      </w:r>
    </w:p>
    <w:p>
      <w:pPr>
        <w:spacing w:after="140"/>
      </w:pPr>
      <w:r>
        <w:rPr>
          <w:sz w:val="24"/>
          <w:szCs w:val="24"/>
        </w:rPr>
        <w:t xml:space="preserve">Autorité syrienne de l’investissement et promotion immobilière</w:t>
      </w:r>
    </w:p>
    <w:p>
      <w:pPr>
        <w:spacing w:after="140"/>
      </w:pPr>
      <w:r>
        <w:rPr>
          <w:sz w:val="24"/>
          <w:szCs w:val="24"/>
        </w:rPr>
        <w:t xml:space="preserve">Service électronique du registre foncier</w:t>
      </w:r>
    </w:p>
    <w:p>
      <w:pPr>
        <w:spacing w:after="140"/>
      </w:pPr>
      <w:r>
        <w:rPr>
          <w:sz w:val="24"/>
          <w:szCs w:val="24"/>
        </w:rPr>
        <w:t xml:space="preserve">Garanties du ministère de la Justice</w:t>
      </w:r>
    </w:p>
    <w:p>
      <w:pPr>
        <w:spacing w:after="140"/>
      </w:pPr>
      <w:r>
        <w:rPr>
          <w:sz w:val="24"/>
          <w:szCs w:val="24"/>
        </w:rPr>
        <w:t xml:space="preserve">Évaluation de la reconstruction par la Banque mondiale</w:t>
      </w:r>
    </w:p>
    <w:p>
      <w:pPr>
        <w:spacing w:after="140"/>
      </w:pPr>
      <w:r>
        <w:rPr>
          <w:sz w:val="24"/>
          <w:szCs w:val="24"/>
        </w:rPr>
        <w:t xml:space="preserve">Numérisation des archives foncières</w:t>
      </w:r>
    </w:p>
    <w:p>
      <w:pPr>
        <w:spacing w:after="140"/>
      </w:pPr>
      <w:r>
        <w:rPr>
          <w:sz w:val="24"/>
          <w:szCs w:val="24"/>
        </w:rPr>
        <w:t xml:space="preserve">Liens internes Bsouria</w:t>
      </w:r>
    </w:p>
    <w:p>
      <w:pPr>
        <w:spacing w:after="140"/>
      </w:pPr>
      <w:r>
        <w:rPr>
          <w:sz w:val="24"/>
          <w:szCs w:val="24"/>
        </w:rPr>
        <w:t xml:space="preserve">Guide impôts et redevances</w:t>
      </w:r>
    </w:p>
    <w:p>
      <w:pPr>
        <w:spacing w:after="140"/>
      </w:pPr>
      <w:r>
        <w:rPr>
          <w:sz w:val="24"/>
          <w:szCs w:val="24"/>
        </w:rPr>
        <w:t xml:space="preserve">Guide import-export</w:t>
      </w:r>
    </w:p>
    <w:p>
      <w:pPr>
        <w:spacing w:after="140"/>
      </w:pPr>
      <w:r>
        <w:rPr>
          <w:sz w:val="24"/>
          <w:szCs w:val="24"/>
        </w:rPr>
        <w:t xml:space="preserve">Annuaire des entreprises</w:t>
      </w:r>
    </w:p>
    <w:p>
      <w:pPr>
        <w:spacing w:after="140"/>
      </w:pPr>
      <w:r>
        <w:rPr>
          <w:sz w:val="24"/>
          <w:szCs w:val="24"/>
        </w:rPr>
        <w:t xml:space="preserve">Opportunités d’investissement</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Investissement immobilier en Syrie 2026 : titre, valorisation et rendement</dc:title>
  <dc:creator>Bsouria Editorial Team</dc:creator>
  <cp:lastModifiedBy>Bsouria</cp:lastModifiedBy>
  <dcterms:created xsi:type="dcterms:W3CDTF">2026-07-31T02:22:27Z</dcterms:created>
</cp:coreProperties>
</file>