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spacing w:after="220"/>
      </w:pPr>
      <w:r>
        <w:rPr>
          <w:b/>
          <w:sz w:val="38"/>
          <w:szCs w:val="38"/>
        </w:rPr>
        <w:t>Investissement et financement en Syrie 2026 : évaluer et structurer une opération</w:t>
      </w:r>
    </w:p>
    <w:p>
      <w:pPr/>
      <w:r>
        <w:rPr>
          <w:i/>
          <w:color w:val="64736B"/>
        </w:rPr>
        <w:t>Besouria Editorial Team · 2026-07-26</w:t>
      </w:r>
    </w:p>
    <w:p>
      <w:pPr>
        <w:spacing w:after="220"/>
      </w:pPr>
      <w:r>
        <w:rPr>
          <w:i/>
        </w:rPr>
        <w:t>Cadre pratique sur fondateurs, marché, chiffres, valorisation, gouvernance, financement, conformité et sortie en Syrie.</w:t>
      </w:r>
    </w:p>
    <w:p>
      <w:pPr>
        <w:spacing w:after="140"/>
      </w:pPr>
      <w:r>
        <w:rPr>
          <w:sz w:val="24"/>
          <w:szCs w:val="24"/>
        </w:rPr>
        <w:t xml:space="preserve">Investir en Syrie ne consiste pas à choisir le secteur le plus à la mode. Il s’agit de transformer un besoin réel en entreprise finançable, gouvernable, mesurable et assortie d’une sortie réaliste.</w:t>
      </w:r>
    </w:p>
    <w:p>
      <w:pPr>
        <w:spacing w:after="140"/>
      </w:pPr>
      <w:r>
        <w:rPr>
          <w:sz w:val="24"/>
          <w:szCs w:val="24"/>
        </w:rPr>
        <w:t xml:space="preserve">Note : Ce cadre n’est pas une recommandation d’investir dans une société particulière. Obtenez des conseils juridiques, financiers et de conformité indépendants.</w:t>
      </w:r>
    </w:p>
    <w:p>
      <w:pPr>
        <w:spacing w:after="140"/>
      </w:pPr>
      <w:r>
        <w:rPr>
          <w:sz w:val="24"/>
          <w:szCs w:val="24"/>
        </w:rPr>
        <w:t xml:space="preserve">Lire une opportunité d’investissement en Syrie</w:t>
      </w:r>
    </w:p>
    <w:p>
      <w:pPr>
        <w:spacing w:after="140"/>
      </w:pPr>
      <w:r>
        <w:rPr>
          <w:sz w:val="24"/>
          <w:szCs w:val="24"/>
        </w:rPr>
        <w:t xml:space="preserve">Les besoins en capitaux, services et infrastructures sont importants, mais les données, la liquidité et l’exécution restent difficiles. Un secteur prometteur n’est pas une thèse. Il faut un client payeur, une demande mesurable, une licence possible, une chaîne d’approvisionnement et une trésorerie compréhensible.</w:t>
      </w:r>
    </w:p>
    <w:p>
      <w:pPr>
        <w:spacing w:after="140"/>
      </w:pPr>
      <w:r>
        <w:rPr>
          <w:sz w:val="24"/>
          <w:szCs w:val="24"/>
        </w:rPr>
        <w:t xml:space="preserve">Écrire la thèse sur une page</w:t>
      </w:r>
    </w:p>
    <w:p>
      <w:pPr>
        <w:spacing w:after="140"/>
      </w:pPr>
      <w:r>
        <w:rPr>
          <w:sz w:val="24"/>
          <w:szCs w:val="24"/>
        </w:rPr>
        <w:t xml:space="preserve">Décrivez problème, client, raison de payer, avantage, marché accessible, trois risques majeurs et preuve qui vous ferait arrêter. Une thèse utile peut être réfutée.</w:t>
      </w:r>
    </w:p>
    <w:p>
      <w:pPr>
        <w:spacing w:after="140"/>
      </w:pPr>
      <w:r>
        <w:rPr>
          <w:sz w:val="24"/>
          <w:szCs w:val="24"/>
        </w:rPr>
        <w:t xml:space="preserve">Capital, dette, partenariat ou coentreprise</w:t>
      </w:r>
    </w:p>
    <w:p>
      <w:pPr>
        <w:spacing w:after="140"/>
      </w:pPr>
      <w:r>
        <w:rPr>
          <w:sz w:val="24"/>
          <w:szCs w:val="24"/>
        </w:rPr>
        <w:t xml:space="preserve">Le capital partage risque et hausse. La dette exige capacité de remboursement et garanties. La coentreprise peut unir exploitation locale et technologie, mais nécessite une gouvernance précise.</w:t>
      </w:r>
    </w:p>
    <w:p>
      <w:pPr>
        <w:spacing w:after="140"/>
      </w:pPr>
      <w:r>
        <w:rPr>
          <w:sz w:val="24"/>
          <w:szCs w:val="24"/>
        </w:rPr>
        <w:t xml:space="preserve">La diligence commence par les personnes</w:t>
      </w:r>
    </w:p>
    <w:p>
      <w:pPr>
        <w:spacing w:after="140"/>
      </w:pPr>
      <w:r>
        <w:rPr>
          <w:sz w:val="24"/>
          <w:szCs w:val="24"/>
        </w:rPr>
        <w:t xml:space="preserve">Vérifiez associés, dirigeants et bénéficiaire effectif, puis registre, licences, litiges, dettes, fiscalité, contrats, clients et fournisseurs. Rapprochez chiffre d’affaires, factures, banque et stocks.</w:t>
      </w:r>
    </w:p>
    <w:p>
      <w:pPr>
        <w:spacing w:after="140"/>
      </w:pPr>
      <w:r>
        <w:rPr>
          <w:sz w:val="24"/>
          <w:szCs w:val="24"/>
        </w:rPr>
        <w:t xml:space="preserve">Un modèle financier simple et honnête</w:t>
      </w:r>
    </w:p>
    <w:p>
      <w:pPr>
        <w:spacing w:after="140"/>
      </w:pPr>
      <w:r>
        <w:rPr>
          <w:sz w:val="24"/>
          <w:szCs w:val="24"/>
        </w:rPr>
        <w:t xml:space="preserve">Construisez 24 mois mensuels. Reliez ventes à volumes, prix et encaissements; coûts à production, stocks et devise. Testez baisse de 30 %, retard de six mois et hausse des intrants.</w:t>
      </w:r>
    </w:p>
    <w:p>
      <w:pPr>
        <w:spacing w:after="140"/>
      </w:pPr>
      <w:r>
        <w:rPr>
          <w:sz w:val="24"/>
          <w:szCs w:val="24"/>
        </w:rPr>
        <w:t xml:space="preserve">La valorisation dépasse le multiple</w:t>
      </w:r>
    </w:p>
    <w:p>
      <w:pPr>
        <w:spacing w:after="140"/>
      </w:pPr>
      <w:r>
        <w:rPr>
          <w:sz w:val="24"/>
          <w:szCs w:val="24"/>
        </w:rPr>
        <w:t xml:space="preserve">Utilisez flux de trésorerie, actifs, coût de remplacement et comparables régionaux, avec décote de risque explicite. Distinguez valeur pré-money et post-money.</w:t>
      </w:r>
    </w:p>
    <w:p>
      <w:pPr>
        <w:spacing w:after="140"/>
      </w:pPr>
      <w:r>
        <w:rPr>
          <w:sz w:val="24"/>
          <w:szCs w:val="24"/>
        </w:rPr>
        <w:t xml:space="preserve">La gouvernance protège les deux parties</w:t>
      </w:r>
    </w:p>
    <w:p>
      <w:pPr>
        <w:spacing w:after="140"/>
      </w:pPr>
      <w:r>
        <w:rPr>
          <w:sz w:val="24"/>
          <w:szCs w:val="24"/>
        </w:rPr>
        <w:t xml:space="preserve">Définissez conseil, décisions réservées, limites de dépense, signatures, rapports mensuels, audit et conflits d’intérêts.</w:t>
      </w:r>
    </w:p>
    <w:p>
      <w:pPr>
        <w:spacing w:after="140"/>
      </w:pPr>
      <w:r>
        <w:rPr>
          <w:sz w:val="24"/>
          <w:szCs w:val="24"/>
        </w:rPr>
        <w:t xml:space="preserve">Adapter le financement au projet</w:t>
      </w:r>
    </w:p>
    <w:p>
      <w:pPr>
        <w:spacing w:after="140"/>
      </w:pPr>
      <w:r>
        <w:rPr>
          <w:sz w:val="24"/>
          <w:szCs w:val="24"/>
        </w:rPr>
        <w:t xml:space="preserve">Capital fondateur, investisseur, partenaire stratégique, dette, crédit fournisseur et avances clients ont des coûts différents. Une dette courte peut déstabiliser un projet long.</w:t>
      </w:r>
    </w:p>
    <w:p>
      <w:pPr>
        <w:spacing w:after="140"/>
      </w:pPr>
      <w:r>
        <w:rPr>
          <w:sz w:val="24"/>
          <w:szCs w:val="24"/>
        </w:rPr>
        <w:t xml:space="preserve">Transferts et conformité</w:t>
      </w:r>
    </w:p>
    <w:p>
      <w:pPr>
        <w:spacing w:after="140"/>
      </w:pPr>
      <w:r>
        <w:rPr>
          <w:sz w:val="24"/>
          <w:szCs w:val="24"/>
        </w:rPr>
        <w:t xml:space="preserve">Les règles internationales ont évolué, mais il faut toujours contrôler personnes, produits, banques et juridictions. Conservez origine des fonds, bénéficiaire effectif, contrats et factures.</w:t>
      </w:r>
    </w:p>
    <w:p>
      <w:pPr>
        <w:spacing w:after="140"/>
      </w:pPr>
      <w:r>
        <w:rPr>
          <w:sz w:val="24"/>
          <w:szCs w:val="24"/>
        </w:rPr>
        <w:t xml:space="preserve">Étudier les secteurs sans slogans</w:t>
      </w:r>
    </w:p>
    <w:p>
      <w:pPr>
        <w:spacing w:after="140"/>
      </w:pPr>
      <w:r>
        <w:rPr>
          <w:sz w:val="24"/>
          <w:szCs w:val="24"/>
        </w:rPr>
        <w:t xml:space="preserve">Énergie, alimentation, logistique, matériaux, santé, logiciels, finance, tourisme et éducation répondent à des besoins réels. Choisissez selon l’avantage de l’équipe et les paiements réels.</w:t>
      </w:r>
    </w:p>
    <w:p>
      <w:pPr>
        <w:spacing w:after="140"/>
      </w:pPr>
      <w:r>
        <w:rPr>
          <w:sz w:val="24"/>
          <w:szCs w:val="24"/>
        </w:rPr>
        <w:t xml:space="preserve">Prévoir distributions et sortie</w:t>
      </w:r>
    </w:p>
    <w:p>
      <w:pPr>
        <w:spacing w:after="140"/>
      </w:pPr>
      <w:r>
        <w:rPr>
          <w:sz w:val="24"/>
          <w:szCs w:val="24"/>
        </w:rPr>
        <w:t xml:space="preserve">Fixez politique de dividendes, réinvestissement, transfert, préemption, valorisation de sortie et résolution des blocages dès le départ.</w:t>
      </w:r>
    </w:p>
    <w:p>
      <w:pPr>
        <w:spacing w:after="140"/>
      </w:pPr>
      <w:r>
        <w:rPr>
          <w:sz w:val="24"/>
          <w:szCs w:val="24"/>
        </w:rPr>
        <w:t xml:space="preserve">Liste en 12 étapes</w:t>
      </w:r>
    </w:p>
    <w:p>
      <w:pPr>
        <w:spacing w:after="140"/>
      </w:pPr>
      <w:r>
        <w:rPr>
          <w:sz w:val="24"/>
          <w:szCs w:val="24"/>
        </w:rPr>
        <w:t xml:space="preserve">Définir problème et client.</w:t>
      </w:r>
    </w:p>
    <w:p>
      <w:pPr>
        <w:spacing w:after="140"/>
      </w:pPr>
      <w:r>
        <w:rPr>
          <w:sz w:val="24"/>
          <w:szCs w:val="24"/>
        </w:rPr>
        <w:t xml:space="preserve">Vérifier fondateurs et bénéficiaire.</w:t>
      </w:r>
    </w:p>
    <w:p>
      <w:pPr>
        <w:spacing w:after="140"/>
      </w:pPr>
      <w:r>
        <w:rPr>
          <w:sz w:val="24"/>
          <w:szCs w:val="24"/>
        </w:rPr>
        <w:t xml:space="preserve">Contrôler licences.</w:t>
      </w:r>
    </w:p>
    <w:p>
      <w:pPr>
        <w:spacing w:after="140"/>
      </w:pPr>
      <w:r>
        <w:rPr>
          <w:sz w:val="24"/>
          <w:szCs w:val="24"/>
        </w:rPr>
        <w:t xml:space="preserve">Rapprocher revenus et banque.</w:t>
      </w:r>
    </w:p>
    <w:p>
      <w:pPr>
        <w:spacing w:after="140"/>
      </w:pPr>
      <w:r>
        <w:rPr>
          <w:sz w:val="24"/>
          <w:szCs w:val="24"/>
        </w:rPr>
        <w:t xml:space="preserve">Vérifier clients et fournisseurs.</w:t>
      </w:r>
    </w:p>
    <w:p>
      <w:pPr>
        <w:spacing w:after="140"/>
      </w:pPr>
      <w:r>
        <w:rPr>
          <w:sz w:val="24"/>
          <w:szCs w:val="24"/>
        </w:rPr>
        <w:t xml:space="preserve">Construire un modèle mensuel.</w:t>
      </w:r>
    </w:p>
    <w:p>
      <w:pPr>
        <w:spacing w:after="140"/>
      </w:pPr>
      <w:r>
        <w:rPr>
          <w:sz w:val="24"/>
          <w:szCs w:val="24"/>
        </w:rPr>
        <w:t xml:space="preserve">Tester le stress.</w:t>
      </w:r>
    </w:p>
    <w:p>
      <w:pPr>
        <w:spacing w:after="140"/>
      </w:pPr>
      <w:r>
        <w:rPr>
          <w:sz w:val="24"/>
          <w:szCs w:val="24"/>
        </w:rPr>
        <w:t xml:space="preserve">Fixer valorisation et conditions.</w:t>
      </w:r>
    </w:p>
    <w:p>
      <w:pPr>
        <w:spacing w:after="140"/>
      </w:pPr>
      <w:r>
        <w:rPr>
          <w:sz w:val="24"/>
          <w:szCs w:val="24"/>
        </w:rPr>
        <w:t xml:space="preserve">Installer la gouvernance.</w:t>
      </w:r>
    </w:p>
    <w:p>
      <w:pPr>
        <w:spacing w:after="140"/>
      </w:pPr>
      <w:r>
        <w:rPr>
          <w:sz w:val="24"/>
          <w:szCs w:val="24"/>
        </w:rPr>
        <w:t xml:space="preserve">Contrôler conformité.</w:t>
      </w:r>
    </w:p>
    <w:p>
      <w:pPr>
        <w:spacing w:after="140"/>
      </w:pPr>
      <w:r>
        <w:rPr>
          <w:sz w:val="24"/>
          <w:szCs w:val="24"/>
        </w:rPr>
        <w:t xml:space="preserve">Prévoir le financement suivant.</w:t>
      </w:r>
    </w:p>
    <w:p>
      <w:pPr>
        <w:spacing w:after="140"/>
      </w:pPr>
      <w:r>
        <w:rPr>
          <w:sz w:val="24"/>
          <w:szCs w:val="24"/>
        </w:rPr>
        <w:t xml:space="preserve">Écrire la sortie.</w:t>
      </w:r>
    </w:p>
    <w:p>
      <w:pPr>
        <w:spacing w:after="140"/>
      </w:pPr>
      <w:r>
        <w:rPr>
          <w:sz w:val="24"/>
          <w:szCs w:val="24"/>
        </w:rPr>
        <w:t xml:space="preserve">Une term sheet avant le contrat définitif</w:t>
      </w:r>
    </w:p>
    <w:p>
      <w:pPr>
        <w:spacing w:after="140"/>
      </w:pPr>
      <w:r>
        <w:rPr>
          <w:sz w:val="24"/>
          <w:szCs w:val="24"/>
        </w:rPr>
        <w:t xml:space="preserve">Résumez montant, valorisation, participation, instrument, étapes, utilisation des fonds, information, décisions réservées, dilution, distributions et sortie. Précisez les clauses contraignantes.</w:t>
      </w:r>
    </w:p>
    <w:p>
      <w:pPr>
        <w:spacing w:after="140"/>
      </w:pPr>
      <w:r>
        <w:rPr>
          <w:sz w:val="24"/>
          <w:szCs w:val="24"/>
        </w:rPr>
        <w:t xml:space="preserve">Contenu de la salle de données</w:t>
      </w:r>
    </w:p>
    <w:p>
      <w:pPr>
        <w:spacing w:after="140"/>
      </w:pPr>
      <w:r>
        <w:rPr>
          <w:sz w:val="24"/>
          <w:szCs w:val="24"/>
        </w:rPr>
        <w:t xml:space="preserve">Demandez statuts, registre des associés, licences, contrats majeurs, états financiers, banque, fiscalité, paie, propriété intellectuelle, litiges, clients, fournisseurs et protection des données. La présentation raconte; les pièces prouvent.</w:t>
      </w:r>
    </w:p>
    <w:p>
      <w:pPr>
        <w:spacing w:after="140"/>
      </w:pPr>
      <w:r>
        <w:rPr>
          <w:sz w:val="24"/>
          <w:szCs w:val="24"/>
        </w:rPr>
        <w:t xml:space="preserve">Risque de change et tarification</w:t>
      </w:r>
    </w:p>
    <w:p>
      <w:pPr>
        <w:spacing w:after="140"/>
      </w:pPr>
      <w:r>
        <w:rPr>
          <w:sz w:val="24"/>
          <w:szCs w:val="24"/>
        </w:rPr>
        <w:t xml:space="preserve">Lorsque ventes et coûts utilisent des devises différentes, la marge varie. Définissez droit de révision, durée des prix, stock de protection et scénarios de change.</w:t>
      </w:r>
    </w:p>
    <w:p>
      <w:pPr>
        <w:spacing w:after="140"/>
      </w:pPr>
      <w:r>
        <w:rPr>
          <w:sz w:val="24"/>
          <w:szCs w:val="24"/>
        </w:rPr>
        <w:t xml:space="preserve">Tableau de bord mensuel</w:t>
      </w:r>
    </w:p>
    <w:p>
      <w:pPr>
        <w:spacing w:after="140"/>
      </w:pPr>
      <w:r>
        <w:rPr>
          <w:sz w:val="24"/>
          <w:szCs w:val="24"/>
        </w:rPr>
        <w:t xml:space="preserve">Suivez recettes encaissées, marge, trésorerie, créances, stocks, clients actifs, concentration, fiscalité, paie et étapes. Chaque écart doit avoir un responsable.</w:t>
      </w:r>
    </w:p>
    <w:p>
      <w:pPr>
        <w:spacing w:after="140"/>
      </w:pPr>
      <w:r>
        <w:rPr>
          <w:sz w:val="24"/>
          <w:szCs w:val="24"/>
        </w:rPr>
        <w:t xml:space="preserve">Rémunération du fondateur et parties liées</w:t>
      </w:r>
    </w:p>
    <w:p>
      <w:pPr>
        <w:spacing w:after="140"/>
      </w:pPr>
      <w:r>
        <w:rPr>
          <w:sz w:val="24"/>
          <w:szCs w:val="24"/>
        </w:rPr>
        <w:t xml:space="preserve">Fixez salaire, prime, frais et opérations avec proches ou sociétés liées. Les transactions importantes doivent être documentées et approuvées.</w:t>
      </w:r>
    </w:p>
    <w:p>
      <w:pPr>
        <w:spacing w:after="140"/>
      </w:pPr>
      <w:r>
        <w:rPr>
          <w:sz w:val="24"/>
          <w:szCs w:val="24"/>
        </w:rPr>
        <w:t xml:space="preserve">Sources externes fiables</w:t>
      </w:r>
    </w:p>
    <w:p>
      <w:pPr>
        <w:spacing w:after="140"/>
      </w:pPr>
      <w:r>
        <w:rPr>
          <w:sz w:val="24"/>
          <w:szCs w:val="24"/>
        </w:rPr>
        <w:t xml:space="preserve">Évaluation macroéconomique de la Banque mondiale</w:t>
      </w:r>
    </w:p>
    <w:p>
      <w:pPr>
        <w:spacing w:after="140"/>
      </w:pPr>
      <w:r>
        <w:rPr>
          <w:sz w:val="24"/>
          <w:szCs w:val="24"/>
        </w:rPr>
        <w:t xml:space="preserve">Page Syrie de la Banque mondiale</w:t>
      </w:r>
    </w:p>
    <w:p>
      <w:pPr>
        <w:spacing w:after="140"/>
      </w:pPr>
      <w:r>
        <w:rPr>
          <w:sz w:val="24"/>
          <w:szCs w:val="24"/>
        </w:rPr>
        <w:t xml:space="preserve">Autorité syrienne de l’investissement</w:t>
      </w:r>
    </w:p>
    <w:p>
      <w:pPr>
        <w:spacing w:after="140"/>
      </w:pPr>
      <w:r>
        <w:rPr>
          <w:sz w:val="24"/>
          <w:szCs w:val="24"/>
        </w:rPr>
        <w:t xml:space="preserve">Politique d’investissement UNCTAD</w:t>
      </w:r>
    </w:p>
    <w:p>
      <w:pPr>
        <w:spacing w:after="140"/>
      </w:pPr>
      <w:r>
        <w:rPr>
          <w:sz w:val="24"/>
          <w:szCs w:val="24"/>
        </w:rPr>
        <w:t xml:space="preserve">Projet de finances publiques</w:t>
      </w:r>
    </w:p>
    <w:p>
      <w:pPr>
        <w:spacing w:after="140"/>
      </w:pPr>
      <w:r>
        <w:rPr>
          <w:sz w:val="24"/>
          <w:szCs w:val="24"/>
        </w:rPr>
        <w:t xml:space="preserve">Liens internes Bsouria</w:t>
      </w:r>
    </w:p>
    <w:p>
      <w:pPr>
        <w:spacing w:after="140"/>
      </w:pPr>
      <w:r>
        <w:rPr>
          <w:sz w:val="24"/>
          <w:szCs w:val="24"/>
        </w:rPr>
        <w:t xml:space="preserve">Guide de diligence commerciale</w:t>
      </w:r>
    </w:p>
    <w:p>
      <w:pPr>
        <w:spacing w:after="140"/>
      </w:pPr>
      <w:r>
        <w:rPr>
          <w:sz w:val="24"/>
          <w:szCs w:val="24"/>
        </w:rPr>
        <w:t xml:space="preserve">Guide impôts et redevances</w:t>
      </w:r>
    </w:p>
    <w:p>
      <w:pPr>
        <w:spacing w:after="140"/>
      </w:pPr>
      <w:r>
        <w:rPr>
          <w:sz w:val="24"/>
          <w:szCs w:val="24"/>
        </w:rPr>
        <w:t xml:space="preserve">Annuaire des entreprises</w:t>
      </w:r>
    </w:p>
    <w:p>
      <w:pPr>
        <w:spacing w:after="140"/>
      </w:pPr>
      <w:r>
        <w:rPr>
          <w:sz w:val="24"/>
          <w:szCs w:val="24"/>
        </w:rPr>
        <w:t xml:space="preserve">Opportunités d’investissement</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Investissement et financement en Syrie 2026 : évaluer et structurer une opération</dc:title>
  <dc:creator>Besouria Editorial Team</dc:creator>
  <cp:lastModifiedBy>Bsouria</cp:lastModifiedBy>
  <dcterms:created xsi:type="dcterms:W3CDTF">2026-07-31T02:23:27Z</dcterms:created>
</cp:coreProperties>
</file>