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Impôts et redevances en Syrie en 2026 : guide pratique pour entreprises et particuliers</w:t>
      </w:r>
    </w:p>
    <w:p>
      <w:pPr/>
      <w:r>
        <w:rPr>
          <w:i/>
          <w:color w:val="64736B"/>
        </w:rPr>
        <w:t>Bsouria Editorial Team · 2026-07-26</w:t>
      </w:r>
    </w:p>
    <w:p>
      <w:pPr>
        <w:spacing w:after="220"/>
      </w:pPr>
      <w:r>
        <w:rPr>
          <w:i/>
        </w:rPr>
        <w:t>Guide actualisé sur le revenu, la paie, l’immobilier, le timbre, les licences, l’acompte importateur, la conformité, le contrôle et les recours.</w:t>
      </w:r>
    </w:p>
    <w:p>
      <w:pPr>
        <w:spacing w:after="140"/>
      </w:pPr>
      <w:r>
        <w:rPr>
          <w:sz w:val="24"/>
          <w:szCs w:val="24"/>
        </w:rPr>
        <w:t xml:space="preserve">Les impôts et redevances ne constituent pas seulement un calcul de fin d’année. Ils influencent la forme juridique, les prix, les contrats, les importations, la paie, les opérations immobilières et la distribution des bénéfices. Le mot « impôt » est parfois employé pour des montants très différents : impôt sur le revenu, redevance, acompte imputable, retenue, pénalité ou frais de service. Une bonne conformité commence donc par l’identification du fondement juridique, du redevable, de l’échéance et de la preuve de paiement.</w:t>
      </w:r>
    </w:p>
    <w:p>
      <w:pPr>
        <w:spacing w:after="140"/>
      </w:pPr>
      <w:r>
        <w:rPr>
          <w:sz w:val="24"/>
          <w:szCs w:val="24"/>
        </w:rPr>
        <w:t xml:space="preserve">Dernière révision éditoriale : 25 juillet 2026. Le système fiscal syrien traverse une phase rapide de réforme législative et numérique. En 2026, le ministère des Finances a indiqué que des textes concernant un impôt unifié sur le revenu, une taxe sur les ventes, la fiscalité des ventes immobilières et le droit de timbre étaient en préparation ou en finalisation. Ne retenez aucun taux, délai ou formulaire sans confirmation de la Commission générale des impôts et redevances ou de la direction financière compétente.</w:t>
      </w:r>
    </w:p>
    <w:p>
      <w:pPr>
        <w:spacing w:after="140"/>
      </w:pPr>
      <w:r>
        <w:rPr>
          <w:sz w:val="24"/>
          <w:szCs w:val="24"/>
        </w:rPr>
        <w:t xml:space="preserve">Objet du guide</w:t>
      </w:r>
    </w:p>
    <w:p>
      <w:pPr>
        <w:spacing w:after="140"/>
      </w:pPr>
      <w:r>
        <w:rPr>
          <w:sz w:val="24"/>
          <w:szCs w:val="24"/>
        </w:rPr>
        <w:t xml:space="preserve">Ce guide fournit une carte pratique aux particuliers, professionnels, commerçants, sociétés et investisseurs. La charge dépend de la forme juridique, de l’activité réelle, de la comptabilité, du lieu, de l’importation, de l’emploi et des opérations immobilières.</w:t>
      </w:r>
    </w:p>
    <w:p>
      <w:pPr>
        <w:spacing w:after="140"/>
      </w:pPr>
      <w:r>
        <w:rPr>
          <w:sz w:val="24"/>
          <w:szCs w:val="24"/>
        </w:rPr>
        <w:t xml:space="preserve">Avant de lancer une activité, consultez la checklist de due diligence et recherchez comptables ou conseillers dans l’Annuaire des entreprises. Suivez la catégorie Impôts et redevances et les guides pratiques.</w:t>
      </w:r>
    </w:p>
    <w:p>
      <w:pPr>
        <w:spacing w:after="140"/>
      </w:pPr>
      <w:r>
        <w:rPr>
          <w:sz w:val="24"/>
          <w:szCs w:val="24"/>
        </w:rPr>
        <w:t xml:space="preserve">Comprendre le statut des réformes en 2026</w:t>
      </w:r>
    </w:p>
    <w:p>
      <w:pPr>
        <w:spacing w:after="140"/>
      </w:pPr>
      <w:r>
        <w:rPr>
          <w:sz w:val="24"/>
          <w:szCs w:val="24"/>
        </w:rPr>
        <w:t xml:space="preserve">En mars 2026, l’autorité fiscale a examiné l’impôt unifié sur le revenu, la taxe sur les ventes, la fiscalité immobilière, le droit de timbre, la facture électronique et le paiement électronique. En avril, un système reliant les entreprises au ministère au moyen du numéro fiscal et du registre du commerce a été présenté. Les anciennes règles peuvent continuer à s’appliquer jusqu’à la publication du nouveau texte, de ses instructions et de sa date d’entrée en vigueur.</w:t>
      </w:r>
    </w:p>
    <w:p>
      <w:pPr>
        <w:spacing w:after="140"/>
      </w:pPr>
      <w:r>
        <w:rPr>
          <w:sz w:val="24"/>
          <w:szCs w:val="24"/>
        </w:rPr>
        <w:t xml:space="preserve">Distinguez toujours un projet, une loi promulguée, une décision d’application et une circulaire interprétative. Commencez par la Commission générale des impôts et redevances et la publication la plus récente du ministère des Finances.</w:t>
      </w:r>
    </w:p>
    <w:p>
      <w:pPr>
        <w:spacing w:after="140"/>
      </w:pPr>
      <w:r>
        <w:rPr>
          <w:sz w:val="24"/>
          <w:szCs w:val="24"/>
        </w:rPr>
        <w:t xml:space="preserve">Impôt, redevance, acompte et pénalité</w:t>
      </w:r>
    </w:p>
    <w:p>
      <w:pPr>
        <w:spacing w:after="140"/>
      </w:pPr>
      <w:r>
        <w:rPr>
          <w:sz w:val="24"/>
          <w:szCs w:val="24"/>
        </w:rPr>
        <w:t xml:space="preserve">Impôt</w:t>
      </w:r>
    </w:p>
    <w:p>
      <w:pPr>
        <w:spacing w:after="140"/>
      </w:pPr>
      <w:r>
        <w:rPr>
          <w:sz w:val="24"/>
          <w:szCs w:val="24"/>
        </w:rPr>
        <w:t xml:space="preserve">Prélèvement obligatoire sur un revenu, un bénéfice, une transaction ou un autre fait générateur.</w:t>
      </w:r>
    </w:p>
    <w:p>
      <w:pPr>
        <w:spacing w:after="140"/>
      </w:pPr>
      <w:r>
        <w:rPr>
          <w:sz w:val="24"/>
          <w:szCs w:val="24"/>
        </w:rPr>
        <w:t xml:space="preserve">Redevance ou droit</w:t>
      </w:r>
    </w:p>
    <w:p>
      <w:pPr>
        <w:spacing w:after="140"/>
      </w:pPr>
      <w:r>
        <w:rPr>
          <w:sz w:val="24"/>
          <w:szCs w:val="24"/>
        </w:rPr>
        <w:t xml:space="preserve">Montant lié à un document, un enregistrement, une autorisation ou un service public. Son calcul et son organisme collecteur peuvent être distincts.</w:t>
      </w:r>
    </w:p>
    <w:p>
      <w:pPr>
        <w:spacing w:after="140"/>
      </w:pPr>
      <w:r>
        <w:rPr>
          <w:sz w:val="24"/>
          <w:szCs w:val="24"/>
        </w:rPr>
        <w:t xml:space="preserve">Acompte fiscal</w:t>
      </w:r>
    </w:p>
    <w:p>
      <w:pPr>
        <w:spacing w:after="140"/>
      </w:pPr>
      <w:r>
        <w:rPr>
          <w:sz w:val="24"/>
          <w:szCs w:val="24"/>
        </w:rPr>
        <w:t xml:space="preserve">Paiement effectué à l’avance puis imputé sur l’imposition définitive. Il affecte la trésorerie mais ne constitue pas automatiquement une charge finale.</w:t>
      </w:r>
    </w:p>
    <w:p>
      <w:pPr>
        <w:spacing w:after="140"/>
      </w:pPr>
      <w:r>
        <w:rPr>
          <w:sz w:val="24"/>
          <w:szCs w:val="24"/>
        </w:rPr>
        <w:t xml:space="preserve">Intérêt ou pénalité</w:t>
      </w:r>
    </w:p>
    <w:p>
      <w:pPr>
        <w:spacing w:after="140"/>
      </w:pPr>
      <w:r>
        <w:rPr>
          <w:sz w:val="24"/>
          <w:szCs w:val="24"/>
        </w:rPr>
        <w:t xml:space="preserve">Montant lié au retard ou à la violation d’une obligation. Un calendrier et des preuves complètes préviennent de nombreuses pénalités.</w:t>
      </w:r>
    </w:p>
    <w:p>
      <w:pPr>
        <w:spacing w:after="140"/>
      </w:pPr>
      <w:r>
        <w:rPr>
          <w:sz w:val="24"/>
          <w:szCs w:val="24"/>
        </w:rPr>
        <w:t xml:space="preserve">Qui est redevable ?</w:t>
      </w:r>
    </w:p>
    <w:p>
      <w:pPr>
        <w:spacing w:after="140"/>
      </w:pPr>
      <w:r>
        <w:rPr>
          <w:sz w:val="24"/>
          <w:szCs w:val="24"/>
        </w:rPr>
        <w:t xml:space="preserve">Le redevable peut être une personne physique, un professionnel, une entreprise individuelle, une société, un employeur, un propriétaire ou un importateur. Identifiez la forme juridique, l’activité réelle, le lieu, les preuves des recettes et dépenses, puis les faits supplémentaires tels que l’importation, l’emploi ou la vente d’un bien.</w:t>
      </w:r>
    </w:p>
    <w:p>
      <w:pPr>
        <w:spacing w:after="140"/>
      </w:pPr>
      <w:r>
        <w:rPr>
          <w:sz w:val="24"/>
          <w:szCs w:val="24"/>
        </w:rPr>
        <w:t xml:space="preserve">L’immatriculation de la société ne règle pas tout. Licence, fiscalité, assurance sociale, timbre, municipalité et douane peuvent relever d’organismes différents. Établissez une matrice indiquant l’autorité, l’échéance, la pièce et le responsable.</w:t>
      </w:r>
    </w:p>
    <w:p>
      <w:pPr>
        <w:spacing w:after="140"/>
      </w:pPr>
      <w:r>
        <w:rPr>
          <w:sz w:val="24"/>
          <w:szCs w:val="24"/>
        </w:rPr>
        <w:t xml:space="preserve">Avant de constituer une société</w:t>
      </w:r>
    </w:p>
    <w:p>
      <w:pPr>
        <w:spacing w:after="140"/>
      </w:pPr>
      <w:r>
        <w:rPr>
          <w:sz w:val="24"/>
          <w:szCs w:val="24"/>
        </w:rPr>
        <w:t xml:space="preserve">Comparez les formes juridiques selon la responsabilité, la gouvernance, la comptabilité, la distribution des bénéfices et l’entrée d’investisseurs, pas seulement selon les frais initiaux. Une structure bon marché peut devenir coûteuse lors de la croissance.</w:t>
      </w:r>
    </w:p>
    <w:p>
      <w:pPr>
        <w:spacing w:after="140"/>
      </w:pPr>
      <w:r>
        <w:rPr>
          <w:sz w:val="24"/>
          <w:szCs w:val="24"/>
        </w:rPr>
        <w:t xml:space="preserve">Demandez une estimation écrite de l’immatriculation, des licences, des cotisations professionnelles, de la comptabilité, de la facturation, de la paie et de l’impôt selon plusieurs scénarios de chiffre d’affaires. Comparez les prestataires dans l’Annuaire ou publiez votre entreprise.</w:t>
      </w:r>
    </w:p>
    <w:p>
      <w:pPr>
        <w:spacing w:after="140"/>
      </w:pPr>
      <w:r>
        <w:rPr>
          <w:sz w:val="24"/>
          <w:szCs w:val="24"/>
        </w:rPr>
        <w:t xml:space="preserve">Impôt sur le revenu et les bénéfices</w:t>
      </w:r>
    </w:p>
    <w:p>
      <w:pPr>
        <w:spacing w:after="140"/>
      </w:pPr>
      <w:r>
        <w:rPr>
          <w:sz w:val="24"/>
          <w:szCs w:val="24"/>
        </w:rPr>
        <w:t xml:space="preserve">Le système syrien a historiquement distingué les bénéfices réels, certains régimes forfaitaires ou estimatifs et les salaires. Un impôt unifié sur le revenu a été annoncé dans le programme de réforme 2026. Demandez donc quelle catégorie et quelle méthode sont actuellement applicables à votre activité.</w:t>
      </w:r>
    </w:p>
    <w:p>
      <w:pPr>
        <w:spacing w:after="140"/>
      </w:pPr>
      <w:r>
        <w:rPr>
          <w:sz w:val="24"/>
          <w:szCs w:val="24"/>
        </w:rPr>
        <w:t xml:space="preserve">Bénéfices réels</w:t>
      </w:r>
    </w:p>
    <w:p>
      <w:pPr>
        <w:spacing w:after="140"/>
      </w:pPr>
      <w:r>
        <w:rPr>
          <w:sz w:val="24"/>
          <w:szCs w:val="24"/>
        </w:rPr>
        <w:t xml:space="preserve">Recettes, charges admises et résultat doivent être appuyés par des livres, factures, contrats, mouvements bancaires et stocks cohérents. Une dépense payée n’est pas automatiquement déductible.</w:t>
      </w:r>
    </w:p>
    <w:p>
      <w:pPr>
        <w:spacing w:after="140"/>
      </w:pPr>
      <w:r>
        <w:rPr>
          <w:sz w:val="24"/>
          <w:szCs w:val="24"/>
        </w:rPr>
        <w:t xml:space="preserve">Régime forfaitaire ou estimatif</w:t>
      </w:r>
    </w:p>
    <w:p>
      <w:pPr>
        <w:spacing w:after="140"/>
      </w:pPr>
      <w:r>
        <w:rPr>
          <w:sz w:val="24"/>
          <w:szCs w:val="24"/>
        </w:rPr>
        <w:t xml:space="preserve">L’activité, le lieu, la taille et d’autres indicateurs peuvent compter. Vérifiez la description de l’activité et contestez rapidement les données erronées.</w:t>
      </w:r>
    </w:p>
    <w:p>
      <w:pPr>
        <w:spacing w:after="140"/>
      </w:pPr>
      <w:r>
        <w:rPr>
          <w:sz w:val="24"/>
          <w:szCs w:val="24"/>
        </w:rPr>
        <w:t xml:space="preserve">Salaires</w:t>
      </w:r>
    </w:p>
    <w:p>
      <w:pPr>
        <w:spacing w:after="140"/>
      </w:pPr>
      <w:r>
        <w:rPr>
          <w:sz w:val="24"/>
          <w:szCs w:val="24"/>
        </w:rPr>
        <w:t xml:space="preserve">Calculs, retenues, déclarations, assurance sociale et contrats de travail doivent être cohérents.</w:t>
      </w:r>
    </w:p>
    <w:p>
      <w:pPr>
        <w:spacing w:after="140"/>
      </w:pPr>
      <w:r>
        <w:rPr>
          <w:sz w:val="24"/>
          <w:szCs w:val="24"/>
        </w:rPr>
        <w:t xml:space="preserve">Taxe sur les ventes et prélèvements de consommation</w:t>
      </w:r>
    </w:p>
    <w:p>
      <w:pPr>
        <w:spacing w:after="140"/>
      </w:pPr>
      <w:r>
        <w:rPr>
          <w:sz w:val="24"/>
          <w:szCs w:val="24"/>
        </w:rPr>
        <w:t xml:space="preserve">Un nouveau texte sur la taxe sur les ventes figurait dans les réformes de 2026. Il ne faut pas supposer qu’une TVA générale s’applique uniquement parce que ce terme est cité dans le débat public. Vérifiez la promulgation, la date d’effet, les seuils, exemptions et mesures transitoires.</w:t>
      </w:r>
    </w:p>
    <w:p>
      <w:pPr>
        <w:spacing w:after="140"/>
      </w:pPr>
      <w:r>
        <w:rPr>
          <w:sz w:val="24"/>
          <w:szCs w:val="24"/>
        </w:rPr>
        <w:t xml:space="preserve">Dans les contrats, précisez si le prix inclut les taxes et redevances et qui supporte une modification législative avant la livraison.</w:t>
      </w:r>
    </w:p>
    <w:p>
      <w:pPr>
        <w:spacing w:after="140"/>
      </w:pPr>
      <w:r>
        <w:rPr>
          <w:sz w:val="24"/>
          <w:szCs w:val="24"/>
        </w:rPr>
        <w:t xml:space="preserve">Acompte fiscal des importateurs et quitus en 2026</w:t>
      </w:r>
    </w:p>
    <w:p>
      <w:pPr>
        <w:spacing w:after="140"/>
      </w:pPr>
      <w:r>
        <w:rPr>
          <w:sz w:val="24"/>
          <w:szCs w:val="24"/>
        </w:rPr>
        <w:t xml:space="preserve">Une annonce officielle du 24 mars 2026 a instauré un acompte de 2 % sur l’impôt sur le revenu des importateurs selon l’assiette précisée dans la décision, applicable à partir du 1er avril 2026. Le ministère l’a décrit comme un paiement imputable, non comme un nouvel impôt définitif. Un quitus fiscal valable a également été exigé pour l’importation à compter du 1er juillet 2026.</w:t>
      </w:r>
    </w:p>
    <w:p>
      <w:pPr>
        <w:spacing w:after="140"/>
      </w:pPr>
      <w:r>
        <w:rPr>
          <w:sz w:val="24"/>
          <w:szCs w:val="24"/>
        </w:rPr>
        <w:t xml:space="preserve">Rapprochez nom légal, numéro fiscal, registre, déclaration en douane et reçu. Comptabilisez l’acompte comme crédit à imputer tout en budgétant son effet de trésorerie. Consultez le guide import-export Syrie.</w:t>
      </w:r>
    </w:p>
    <w:p>
      <w:pPr>
        <w:spacing w:after="140"/>
      </w:pPr>
      <w:r>
        <w:rPr>
          <w:sz w:val="24"/>
          <w:szCs w:val="24"/>
        </w:rPr>
        <w:t xml:space="preserve">Fiscalité et frais immobiliers</w:t>
      </w:r>
    </w:p>
    <w:p>
      <w:pPr>
        <w:spacing w:after="140"/>
      </w:pPr>
      <w:r>
        <w:rPr>
          <w:sz w:val="24"/>
          <w:szCs w:val="24"/>
        </w:rPr>
        <w:t xml:space="preserve">Une opération peut combiner taxe sur la vente, frais de transfert et d’enregistrement, timbre, revenus locatifs et quitus. La loi 15 de 2021 a utilisé la valeur courante administrativement déterminée, tandis que la réforme immobilière a de nouveau été examinée en 2026.</w:t>
      </w:r>
    </w:p>
    <w:p>
      <w:pPr>
        <w:spacing w:after="140"/>
      </w:pPr>
      <w:r>
        <w:rPr>
          <w:sz w:val="24"/>
          <w:szCs w:val="24"/>
        </w:rPr>
        <w:t xml:space="preserve">Avant tout acompte, demandez un calcul écrit actualisé et répartissez les coûts dans le contrat. Ne vous fiez pas uniquement au prix convenu entre les parties. Consultez les articles Immobilier.</w:t>
      </w:r>
    </w:p>
    <w:p>
      <w:pPr>
        <w:spacing w:after="140"/>
      </w:pPr>
      <w:r>
        <w:rPr>
          <w:sz w:val="24"/>
          <w:szCs w:val="24"/>
        </w:rPr>
        <w:t xml:space="preserve">Droit de timbre et contrats</w:t>
      </w:r>
    </w:p>
    <w:p>
      <w:pPr>
        <w:spacing w:after="140"/>
      </w:pPr>
      <w:r>
        <w:rPr>
          <w:sz w:val="24"/>
          <w:szCs w:val="24"/>
        </w:rPr>
        <w:t xml:space="preserve">Le timbre peut dépendre de la nature, de la valeur et de l’usage officiel du document. Vérifiez l’assiette, les exemplaires concernés, l’échéance et la partie qui supporte le coût avant signature. Une clause contractuelle ne modifie pas toujours le redevable légal vis-à-vis du Trésor.</w:t>
      </w:r>
    </w:p>
    <w:p>
      <w:pPr>
        <w:spacing w:after="140"/>
      </w:pPr>
      <w:r>
        <w:rPr>
          <w:sz w:val="24"/>
          <w:szCs w:val="24"/>
        </w:rPr>
        <w:t xml:space="preserve">Redevances locales et sectorielles</w:t>
      </w:r>
    </w:p>
    <w:p>
      <w:pPr>
        <w:spacing w:after="140"/>
      </w:pPr>
      <w:r>
        <w:rPr>
          <w:sz w:val="24"/>
          <w:szCs w:val="24"/>
        </w:rPr>
        <w:t xml:space="preserve">Des licences municipales, professionnelles, sanitaires, publicitaires, environnementales ou touristiques peuvent s’ajouter selon le secteur et le lieu. Séparez frais uniques et renouvellements, confirmez les inspections et l’éligibilité du local avant d’investir.</w:t>
      </w:r>
    </w:p>
    <w:p>
      <w:pPr>
        <w:spacing w:after="140"/>
      </w:pPr>
      <w:r>
        <w:rPr>
          <w:sz w:val="24"/>
          <w:szCs w:val="24"/>
        </w:rPr>
        <w:t xml:space="preserve">Assurance sociale</w:t>
      </w:r>
    </w:p>
    <w:p>
      <w:pPr>
        <w:spacing w:after="140"/>
      </w:pPr>
      <w:r>
        <w:rPr>
          <w:sz w:val="24"/>
          <w:szCs w:val="24"/>
        </w:rPr>
        <w:t xml:space="preserve">L’impôt sur les salaires et les cotisations sociales sont des obligations distinctes. Le coût réel d’un salarié inclut la part employeur, les congés et les avantages, pas seulement le salaire net.</w:t>
      </w:r>
    </w:p>
    <w:p>
      <w:pPr>
        <w:spacing w:after="140"/>
      </w:pPr>
      <w:r>
        <w:rPr>
          <w:sz w:val="24"/>
          <w:szCs w:val="24"/>
        </w:rPr>
        <w:t xml:space="preserve">Livres, factures et pièces</w:t>
      </w:r>
    </w:p>
    <w:p>
      <w:pPr>
        <w:spacing w:after="140"/>
      </w:pPr>
      <w:r>
        <w:rPr>
          <w:sz w:val="24"/>
          <w:szCs w:val="24"/>
        </w:rPr>
        <w:t xml:space="preserve">Conservez contrats, factures, preuves de paiement, relevés bancaires, stocks, déclarations douanières, paie, baux, immobilisations et correspondances expliquant les opérations inhabituelles. Numérotez les factures sans rupture et gardez une piste d’annulation.</w:t>
      </w:r>
    </w:p>
    <w:p>
      <w:pPr>
        <w:spacing w:after="140"/>
      </w:pPr>
      <w:r>
        <w:rPr>
          <w:sz w:val="24"/>
          <w:szCs w:val="24"/>
        </w:rPr>
        <w:t xml:space="preserve">Rapprochez ventes, encaissements et stocks ainsi que achats, fournisseurs, paiements et réception. La facture électronique accroîtra l’importance de données clients et fiscales propres.</w:t>
      </w:r>
    </w:p>
    <w:p>
      <w:pPr>
        <w:spacing w:after="140"/>
      </w:pPr>
      <w:r>
        <w:rPr>
          <w:sz w:val="24"/>
          <w:szCs w:val="24"/>
        </w:rPr>
        <w:t xml:space="preserve">Facture électronique et numérisation</w:t>
      </w:r>
    </w:p>
    <w:p>
      <w:pPr>
        <w:spacing w:after="140"/>
      </w:pPr>
      <w:r>
        <w:rPr>
          <w:sz w:val="24"/>
          <w:szCs w:val="24"/>
        </w:rPr>
        <w:t xml:space="preserve">Le système présenté en avril 2026 vise à relier les sociétés par numéro fiscal et registre du commerce. Il ne signifie pas nécessairement une obligation identique immédiate pour tous, mais annonce davantage de rapprochements automatisés.</w:t>
      </w:r>
    </w:p>
    <w:p>
      <w:pPr>
        <w:spacing w:after="140"/>
      </w:pPr>
      <w:r>
        <w:rPr>
          <w:sz w:val="24"/>
          <w:szCs w:val="24"/>
        </w:rPr>
        <w:t xml:space="preserve">Votre logiciel doit préserver une facture auditable, la date, l’identité du client, la description, la quantité, le prix, les remises et les frais. Limitez les droits utilisateurs et effectuez des sauvegardes.</w:t>
      </w:r>
    </w:p>
    <w:p>
      <w:pPr>
        <w:spacing w:after="140"/>
      </w:pPr>
      <w:r>
        <w:rPr>
          <w:sz w:val="24"/>
          <w:szCs w:val="24"/>
        </w:rPr>
        <w:t xml:space="preserve">Calendrier fiscal</w:t>
      </w:r>
    </w:p>
    <w:p>
      <w:pPr>
        <w:spacing w:after="140"/>
      </w:pPr>
      <w:r>
        <w:rPr>
          <w:sz w:val="24"/>
          <w:szCs w:val="24"/>
        </w:rPr>
        <w:t xml:space="preserve">Inscrivez déclarations, paiements, renouvellements et quitus dans un calendrier annuel et mensuel. Une prorogation officielle ponctuelle n’est pas permanente. Conservez l’échéance initiale, la prorogation, les pièces, le responsable et le numéro de reçu.</w:t>
      </w:r>
    </w:p>
    <w:p>
      <w:pPr>
        <w:spacing w:after="140"/>
      </w:pPr>
      <w:r>
        <w:rPr>
          <w:sz w:val="24"/>
          <w:szCs w:val="24"/>
        </w:rPr>
        <w:t xml:space="preserve">Quitus fiscal</w:t>
      </w:r>
    </w:p>
    <w:p>
      <w:pPr>
        <w:spacing w:after="140"/>
      </w:pPr>
      <w:r>
        <w:rPr>
          <w:sz w:val="24"/>
          <w:szCs w:val="24"/>
        </w:rPr>
        <w:t xml:space="preserve">Lisez son champ, sa durée et l’autorité émettrice. Il peut ne pas clôturer toutes les années ni empêcher un contrôle ultérieur. Lors d’une acquisition, appliquez le guide de vérification commerciale et juridique et examinez années ouvertes, recours et pénalités.</w:t>
      </w:r>
    </w:p>
    <w:p>
      <w:pPr>
        <w:spacing w:after="140"/>
      </w:pPr>
      <w:r>
        <w:rPr>
          <w:sz w:val="24"/>
          <w:szCs w:val="24"/>
        </w:rPr>
        <w:t xml:space="preserve">Préparer un contrôle</w:t>
      </w:r>
    </w:p>
    <w:p>
      <w:pPr>
        <w:spacing w:after="140"/>
      </w:pPr>
      <w:r>
        <w:rPr>
          <w:sz w:val="24"/>
          <w:szCs w:val="24"/>
        </w:rPr>
        <w:t xml:space="preserve">Les contrôles rapprochent ventes et factures, stocks et achats, importations et douane, paie et personnel. Une incohérence inexpliquée est plus risquée qu’un chiffre élevé mais documenté. Désignez un interlocuteur, tracez les pièces remises et ne signez pas un procès-verbal incompris.</w:t>
      </w:r>
    </w:p>
    <w:p>
      <w:pPr>
        <w:spacing w:after="140"/>
      </w:pPr>
      <w:r>
        <w:rPr>
          <w:sz w:val="24"/>
          <w:szCs w:val="24"/>
        </w:rPr>
        <w:t xml:space="preserve">Réclamation et recours</w:t>
      </w:r>
    </w:p>
    <w:p>
      <w:pPr>
        <w:spacing w:after="140"/>
      </w:pPr>
      <w:r>
        <w:rPr>
          <w:sz w:val="24"/>
          <w:szCs w:val="24"/>
        </w:rPr>
        <w:t xml:space="preserve">La réclamation est soumise à une date de notification, un délai, une forme, parfois un paiement ou une garantie et une commission compétente. La preuve doit traiter le point litigieux : factures et stock pour les ventes, titres et évaluation pour l’immobilier, licences et faits pour la classification.</w:t>
      </w:r>
    </w:p>
    <w:p>
      <w:pPr>
        <w:spacing w:after="140"/>
      </w:pPr>
      <w:r>
        <w:rPr>
          <w:sz w:val="24"/>
          <w:szCs w:val="24"/>
        </w:rPr>
        <w:t xml:space="preserve">Réduire les pénalités</w:t>
      </w:r>
    </w:p>
    <w:p>
      <w:pPr>
        <w:spacing w:after="140"/>
      </w:pPr>
      <w:r>
        <w:rPr>
          <w:sz w:val="24"/>
          <w:szCs w:val="24"/>
        </w:rPr>
        <w:t xml:space="preserve">Enregistrez rapidement les changements d’adresse, d’activité ou d’associés.</w:t>
      </w:r>
    </w:p>
    <w:p>
      <w:pPr>
        <w:spacing w:after="140"/>
      </w:pPr>
      <w:r>
        <w:rPr>
          <w:sz w:val="24"/>
          <w:szCs w:val="24"/>
        </w:rPr>
        <w:t xml:space="preserve">Déposez les déclarations requises même en perte.</w:t>
      </w:r>
    </w:p>
    <w:p>
      <w:pPr>
        <w:spacing w:after="140"/>
      </w:pPr>
      <w:r>
        <w:rPr>
          <w:sz w:val="24"/>
          <w:szCs w:val="24"/>
        </w:rPr>
        <w:t xml:space="preserve">N’utilisez ni facture d’un tiers ni compte personnel pour dissimuler l’activité.</w:t>
      </w:r>
    </w:p>
    <w:p>
      <w:pPr>
        <w:spacing w:after="140"/>
      </w:pPr>
      <w:r>
        <w:rPr>
          <w:sz w:val="24"/>
          <w:szCs w:val="24"/>
        </w:rPr>
        <w:t xml:space="preserve">Rapprochez banque, caisse et stock.</w:t>
      </w:r>
    </w:p>
    <w:p>
      <w:pPr>
        <w:spacing w:after="140"/>
      </w:pPr>
      <w:r>
        <w:rPr>
          <w:sz w:val="24"/>
          <w:szCs w:val="24"/>
        </w:rPr>
        <w:t xml:space="preserve">Gardez la preuve de chaque dépôt et paiement.</w:t>
      </w:r>
    </w:p>
    <w:p>
      <w:pPr>
        <w:spacing w:after="140"/>
      </w:pPr>
      <w:r>
        <w:rPr>
          <w:sz w:val="24"/>
          <w:szCs w:val="24"/>
        </w:rPr>
        <w:t xml:space="preserve">Suivez les publications officielles.</w:t>
      </w:r>
    </w:p>
    <w:p>
      <w:pPr>
        <w:spacing w:after="140"/>
      </w:pPr>
      <w:r>
        <w:rPr>
          <w:sz w:val="24"/>
          <w:szCs w:val="24"/>
        </w:rPr>
        <w:t xml:space="preserve">Planification légitime et fraude</w:t>
      </w:r>
    </w:p>
    <w:p>
      <w:pPr>
        <w:spacing w:after="140"/>
      </w:pPr>
      <w:r>
        <w:rPr>
          <w:sz w:val="24"/>
          <w:szCs w:val="24"/>
        </w:rPr>
        <w:t xml:space="preserve">La planification légitime utilise une structure adaptée, une exonération valable, un calendrier et des charges documentées. La fraude dissimule des recettes, utilise de fausses factures ou un importateur fictif. Demandez au conseiller le fondement juridique écrit.</w:t>
      </w:r>
    </w:p>
    <w:p>
      <w:pPr>
        <w:spacing w:after="140"/>
      </w:pPr>
      <w:r>
        <w:rPr>
          <w:sz w:val="24"/>
          <w:szCs w:val="24"/>
        </w:rPr>
        <w:t xml:space="preserve">Prix et trésorerie</w:t>
      </w:r>
    </w:p>
    <w:p>
      <w:pPr>
        <w:spacing w:after="140"/>
      </w:pPr>
      <w:r>
        <w:rPr>
          <w:sz w:val="24"/>
          <w:szCs w:val="24"/>
        </w:rPr>
        <w:t xml:space="preserve">Ajoutez au prix hors taxe les droits directs, le coût de conformité, les acomptes immobilisant la trésorerie et une réserve pour les contrats longs. Un acompte imputable n’est pas nécessairement une charge finale, mais il mobilise des fonds.</w:t>
      </w:r>
    </w:p>
    <w:p>
      <w:pPr>
        <w:spacing w:after="140"/>
      </w:pPr>
      <w:r>
        <w:rPr>
          <w:sz w:val="24"/>
          <w:szCs w:val="24"/>
        </w:rPr>
        <w:t xml:space="preserve">Modèle simple :Produit ou service.</w:t>
      </w:r>
    </w:p>
    <w:p>
      <w:pPr>
        <w:spacing w:after="140"/>
      </w:pPr>
      <w:r>
        <w:rPr>
          <w:sz w:val="24"/>
          <w:szCs w:val="24"/>
        </w:rPr>
        <w:t xml:space="preserve">Transport, douane et dédouanement.</w:t>
      </w:r>
    </w:p>
    <w:p>
      <w:pPr>
        <w:spacing w:after="140"/>
      </w:pPr>
      <w:r>
        <w:rPr>
          <w:sz w:val="24"/>
          <w:szCs w:val="24"/>
        </w:rPr>
        <w:t xml:space="preserve">Licences, droits et timbre.</w:t>
      </w:r>
    </w:p>
    <w:p>
      <w:pPr>
        <w:spacing w:after="140"/>
      </w:pPr>
      <w:r>
        <w:rPr>
          <w:sz w:val="24"/>
          <w:szCs w:val="24"/>
        </w:rPr>
        <w:t xml:space="preserve">Paie, assurance et administration.</w:t>
      </w:r>
    </w:p>
    <w:p>
      <w:pPr>
        <w:spacing w:after="140"/>
      </w:pPr>
      <w:r>
        <w:rPr>
          <w:sz w:val="24"/>
          <w:szCs w:val="24"/>
        </w:rPr>
        <w:t xml:space="preserve">Impôt attendu sur le bénéfice.</w:t>
      </w:r>
    </w:p>
    <w:p>
      <w:pPr>
        <w:spacing w:after="140"/>
      </w:pPr>
      <w:r>
        <w:rPr>
          <w:sz w:val="24"/>
          <w:szCs w:val="24"/>
        </w:rPr>
        <w:t xml:space="preserve">Réserve pour retard ou réévaluation.</w:t>
      </w:r>
    </w:p>
    <w:p>
      <w:pPr>
        <w:spacing w:after="140"/>
      </w:pPr>
      <w:r>
        <w:rPr>
          <w:sz w:val="24"/>
          <w:szCs w:val="24"/>
        </w:rPr>
        <w:t xml:space="preserve">Clauses fiscales</w:t>
      </w:r>
    </w:p>
    <w:p>
      <w:pPr>
        <w:spacing w:after="140"/>
      </w:pPr>
      <w:r>
        <w:rPr>
          <w:sz w:val="24"/>
          <w:szCs w:val="24"/>
        </w:rPr>
        <w:t xml:space="preserve">Précisez si le prix inclut impôts et redevances, qui facture, qui supporte le timbre et comment traiter un changement de loi. Une clause mettant « tous les impôts » à la charge de l’autre partie ne change pas nécessairement la responsabilité légale.</w:t>
      </w:r>
    </w:p>
    <w:p>
      <w:pPr>
        <w:spacing w:after="140"/>
      </w:pPr>
      <w:r>
        <w:rPr>
          <w:sz w:val="24"/>
          <w:szCs w:val="24"/>
        </w:rPr>
        <w:t xml:space="preserve">Investisseur étranger ou non-résident</w:t>
      </w:r>
    </w:p>
    <w:p>
      <w:pPr>
        <w:spacing w:after="140"/>
      </w:pPr>
      <w:r>
        <w:rPr>
          <w:sz w:val="24"/>
          <w:szCs w:val="24"/>
        </w:rPr>
        <w:t xml:space="preserve">Examinez établissement stable, source du revenu, distribution, frais de gestion ou licence, transferts et convention contre la double imposition. Étudiez les opportunités d’investissement après réception d’un dossier financier et juridique, ou publiez une opportunité clairement structurée.</w:t>
      </w:r>
    </w:p>
    <w:p>
      <w:pPr>
        <w:spacing w:after="140"/>
      </w:pPr>
      <w:r>
        <w:rPr>
          <w:sz w:val="24"/>
          <w:szCs w:val="24"/>
        </w:rPr>
        <w:t xml:space="preserve">Petites entreprises</w:t>
      </w:r>
    </w:p>
    <w:p>
      <w:pPr>
        <w:spacing w:after="140"/>
      </w:pPr>
      <w:r>
        <w:rPr>
          <w:sz w:val="24"/>
          <w:szCs w:val="24"/>
        </w:rPr>
        <w:t xml:space="preserve">Un compte séparé, un journal simple, un dossier de factures, une liste de créances et un inventaire périodique constituent une base solide. Ne mélangez pas dépenses familiales et professionnelles. Revoyez les chiffres chaque mois, car la croissance peut modifier les obligations.</w:t>
      </w:r>
    </w:p>
    <w:p>
      <w:pPr>
        <w:spacing w:after="140"/>
      </w:pPr>
      <w:r>
        <w:rPr>
          <w:sz w:val="24"/>
          <w:szCs w:val="24"/>
        </w:rPr>
        <w:t xml:space="preserve">Due diligence fiscale d’une acquisition</w:t>
      </w:r>
    </w:p>
    <w:p>
      <w:pPr>
        <w:spacing w:after="140"/>
      </w:pPr>
      <w:r>
        <w:rPr>
          <w:sz w:val="24"/>
          <w:szCs w:val="24"/>
        </w:rPr>
        <w:t xml:space="preserve">Demandez déclarations, avis, reçus, recours, quitus, paie, importations et correspondance. Rapprochez recettes déclarées, comptes, banque et stock. Prévoyez garanties, indemnisation et éventuellement retenue de prix pour les périodes antérieures.</w:t>
      </w:r>
    </w:p>
    <w:p>
      <w:pPr>
        <w:spacing w:after="140"/>
      </w:pPr>
      <w:r>
        <w:rPr>
          <w:sz w:val="24"/>
          <w:szCs w:val="24"/>
        </w:rPr>
        <w:t xml:space="preserve">Analyser les obligations par secteur</w:t>
      </w:r>
    </w:p>
    <w:p>
      <w:pPr>
        <w:spacing w:after="140"/>
      </w:pPr>
      <w:r>
        <w:rPr>
          <w:sz w:val="24"/>
          <w:szCs w:val="24"/>
        </w:rPr>
        <w:t xml:space="preserve">Deux sociétés de même forme juridique peuvent avoir des obligations très différentes si l’une importe et l’autre exerce dans la construction, le tourisme ou les services numériques. Examinez les licences sectorielles, la date de reconnaissance du revenu, les stocks, les contrats de longue durée et les opérations en espèces. Un fabricant doit rapprocher matières, production, pertes et produits finis; un prestataire doit prouver l’achèvement de la mission.</w:t>
      </w:r>
    </w:p>
    <w:p>
      <w:pPr>
        <w:spacing w:after="140"/>
      </w:pPr>
      <w:r>
        <w:rPr>
          <w:sz w:val="24"/>
          <w:szCs w:val="24"/>
        </w:rPr>
        <w:t xml:space="preserve">L’Annuaire des entreprises aide à comprendre le marché, mais ne copiez pas le traitement d’une autre société sans vérifier taille, licence, lieu et contrats.</w:t>
      </w:r>
    </w:p>
    <w:p>
      <w:pPr>
        <w:spacing w:after="140"/>
      </w:pPr>
      <w:r>
        <w:rPr>
          <w:sz w:val="24"/>
          <w:szCs w:val="24"/>
        </w:rPr>
        <w:t xml:space="preserve">Choisir un comptable ou conseiller fiscal</w:t>
      </w:r>
    </w:p>
    <w:p>
      <w:pPr>
        <w:spacing w:after="140"/>
      </w:pPr>
      <w:r>
        <w:rPr>
          <w:sz w:val="24"/>
          <w:szCs w:val="24"/>
        </w:rPr>
        <w:t xml:space="preserve">Ne choisissez pas un conseiller parce qu’il promet le montant le plus faible. Demandez son expérience sectorielle, la forme de ses avis écrits, la validation des déclarations, la protection des données et l’assistance en contrôle ou recours. Définissez le périmètre : tenue, révision, déclarations, paie, conseil ou représentation.</w:t>
      </w:r>
    </w:p>
    <w:p>
      <w:pPr>
        <w:spacing w:after="140"/>
      </w:pPr>
      <w:r>
        <w:rPr>
          <w:sz w:val="24"/>
          <w:szCs w:val="24"/>
        </w:rPr>
        <w:t xml:space="preserve">Exigez un bref rapport mensuel sur recettes, charges, acomptes, échéances et risques ouverts. La direction doit comprendre ce qui est déposé au nom de la société; la délégation ne supprime pas sa responsabilité.</w:t>
      </w:r>
    </w:p>
    <w:p>
      <w:pPr>
        <w:spacing w:after="140"/>
      </w:pPr>
      <w:r>
        <w:rPr>
          <w:sz w:val="24"/>
          <w:szCs w:val="24"/>
        </w:rPr>
        <w:t xml:space="preserve">Tester la cohérence entre systèmes</w:t>
      </w:r>
    </w:p>
    <w:p>
      <w:pPr>
        <w:spacing w:after="140"/>
      </w:pPr>
      <w:r>
        <w:rPr>
          <w:sz w:val="24"/>
          <w:szCs w:val="24"/>
        </w:rPr>
        <w:t xml:space="preserve">La numérisation permet de comparer registre du commerce, factures, douane, banque et salariés. Vérifiez la dénomination légale, le numéro fiscal, l’adresse et l’activité partout. Une divergence minime peut retarder le quitus ou l’imputation d’un acompte.</w:t>
      </w:r>
    </w:p>
    <w:p>
      <w:pPr>
        <w:spacing w:after="140"/>
      </w:pPr>
      <w:r>
        <w:rPr>
          <w:sz w:val="24"/>
          <w:szCs w:val="24"/>
        </w:rPr>
        <w:t xml:space="preserve">Chaque trimestre, rapprochez total des factures, chiffre d’affaires et encaissements; documentez décalages, retours, annulations et avances. Faites de même pour achats, stocks, importations et paie. Le but n’est pas de forcer l’égalité, mais d’expliquer chaque écart par une preuve.</w:t>
      </w:r>
    </w:p>
    <w:p>
      <w:pPr>
        <w:spacing w:after="140"/>
      </w:pPr>
      <w:r>
        <w:rPr>
          <w:sz w:val="24"/>
          <w:szCs w:val="24"/>
        </w:rPr>
        <w:t xml:space="preserve">Séparer la trésorerie fiscale</w:t>
      </w:r>
    </w:p>
    <w:p>
      <w:pPr>
        <w:spacing w:after="140"/>
      </w:pPr>
      <w:r>
        <w:rPr>
          <w:sz w:val="24"/>
          <w:szCs w:val="24"/>
        </w:rPr>
        <w:t xml:space="preserve">Une petite entreprise ne doit pas considérer chaque encaissement comme un bénéfice disponible. Retenues sur salaires, renouvellements, acompte importateur et impôt de période nécessitent une réserve. Un compte ou tableau interne dédié réduit le risque de devoir emprunter à l’échéance.</w:t>
      </w:r>
    </w:p>
    <w:p>
      <w:pPr>
        <w:spacing w:after="140"/>
      </w:pPr>
      <w:r>
        <w:rPr>
          <w:sz w:val="24"/>
          <w:szCs w:val="24"/>
        </w:rPr>
        <w:t xml:space="preserve">Actualisez la réserve chaque mois à partir des encaissements réels. Séparez les ventes facturées non encaissées et les avances clients. Le plan de trésorerie doit compléter, et non reproduire, le résultat comptable.</w:t>
      </w:r>
    </w:p>
    <w:p>
      <w:pPr>
        <w:spacing w:after="140"/>
      </w:pPr>
      <w:r>
        <w:rPr>
          <w:sz w:val="24"/>
          <w:szCs w:val="24"/>
        </w:rPr>
        <w:t xml:space="preserve">Exemple pratique de coût et trésorerie</w:t>
      </w:r>
    </w:p>
    <w:p>
      <w:pPr>
        <w:spacing w:after="140"/>
      </w:pPr>
      <w:r>
        <w:rPr>
          <w:sz w:val="24"/>
          <w:szCs w:val="24"/>
        </w:rPr>
        <w:t xml:space="preserve">Une société qui importe des équipements ne calcule pas sa marge par la seule différence entre prix de vente et prix d’achat. Elle ajoute transport, douane, dédouanement, stockage, droits et effet de trésorerie de l’acompte, puis les charges d’exploitation. Elle distingue ensuite crédits imputables et dépenses définitives.</w:t>
      </w:r>
    </w:p>
    <w:p>
      <w:pPr>
        <w:spacing w:after="140"/>
      </w:pPr>
      <w:r>
        <w:rPr>
          <w:sz w:val="24"/>
          <w:szCs w:val="24"/>
        </w:rPr>
        <w:t xml:space="preserve">Si le client paie à terme, certaines obligations peuvent naître avant l’encaissement complet. Reliez date d’importation, acompte de 2 %, livraison, encaissement et déclaration dans un tableau unique. Un bénéfice comptable ne signifie pas une trésorerie disponible.</w:t>
      </w:r>
    </w:p>
    <w:p>
      <w:pPr>
        <w:spacing w:after="140"/>
      </w:pPr>
      <w:r>
        <w:rPr>
          <w:sz w:val="24"/>
          <w:szCs w:val="24"/>
        </w:rPr>
        <w:t xml:space="preserve">Gérer un changement de loi</w:t>
      </w:r>
    </w:p>
    <w:p>
      <w:pPr>
        <w:spacing w:after="140"/>
      </w:pPr>
      <w:r>
        <w:rPr>
          <w:sz w:val="24"/>
          <w:szCs w:val="24"/>
        </w:rPr>
        <w:t xml:space="preserve">Pour chaque modification officielle, enregistrez numéro, publication, entrée en vigueur, opérations concernées et responsable interne. Indiquez les dispositions transitoires et la date de fin de l’ancien traitement. L’équipe évitera ainsi d’appliquer trop tôt une annonce circulant sur les réseaux.</w:t>
      </w:r>
    </w:p>
    <w:p>
      <w:pPr>
        <w:spacing w:after="140"/>
      </w:pPr>
      <w:r>
        <w:rPr>
          <w:sz w:val="24"/>
          <w:szCs w:val="24"/>
        </w:rPr>
        <w:t xml:space="preserve">Préparez les nouveaux prix, modèles de contrats, codes comptables et messages clients avant l’entrée en vigueur. Les changements fiscaux concernent souvent ventes, achats et logistique, pas seulement le comptable.</w:t>
      </w:r>
    </w:p>
    <w:p>
      <w:pPr>
        <w:spacing w:after="140"/>
      </w:pPr>
      <w:r>
        <w:rPr>
          <w:sz w:val="24"/>
          <w:szCs w:val="24"/>
        </w:rPr>
        <w:t xml:space="preserve">Plan de conformité sur 30 jours</w:t>
      </w:r>
    </w:p>
    <w:p>
      <w:pPr>
        <w:spacing w:after="140"/>
      </w:pPr>
      <w:r>
        <w:rPr>
          <w:sz w:val="24"/>
          <w:szCs w:val="24"/>
        </w:rPr>
        <w:t xml:space="preserve">Semaine 1 : rassembler registres, licences, contrats et anciennes déclarations; cartographier les obligations.</w:t>
      </w:r>
    </w:p>
    <w:p>
      <w:pPr>
        <w:spacing w:after="140"/>
      </w:pPr>
      <w:r>
        <w:rPr>
          <w:sz w:val="24"/>
          <w:szCs w:val="24"/>
        </w:rPr>
        <w:t xml:space="preserve">Semaine 2 : rapprocher factures, banque, stock, paie et douane.</w:t>
      </w:r>
    </w:p>
    <w:p>
      <w:pPr>
        <w:spacing w:after="140"/>
      </w:pPr>
      <w:r>
        <w:rPr>
          <w:sz w:val="24"/>
          <w:szCs w:val="24"/>
        </w:rPr>
        <w:t xml:space="preserve">Semaine 3 : corriger les lacunes, actualiser les données et construire le calendrier.</w:t>
      </w:r>
    </w:p>
    <w:p>
      <w:pPr>
        <w:spacing w:after="140"/>
      </w:pPr>
      <w:r>
        <w:rPr>
          <w:sz w:val="24"/>
          <w:szCs w:val="24"/>
        </w:rPr>
        <w:t xml:space="preserve">Semaine 4 : obtenir une revue spécialisée, classer les risques et approuver les politiques de facturation et conservation.</w:t>
      </w:r>
    </w:p>
    <w:p>
      <w:pPr>
        <w:spacing w:after="140"/>
      </w:pPr>
      <w:r>
        <w:rPr>
          <w:sz w:val="24"/>
          <w:szCs w:val="24"/>
        </w:rPr>
        <w:t xml:space="preserve">Poursuivez ensuite avec une clôture mensuelle simple. Elle coûte moins cher que la reconstruction d’une année lors d’un contrôle ou d’une demande urgente de quitus.</w:t>
      </w:r>
    </w:p>
    <w:p>
      <w:pPr>
        <w:spacing w:after="140"/>
      </w:pPr>
      <w:r>
        <w:rPr>
          <w:sz w:val="24"/>
          <w:szCs w:val="24"/>
        </w:rPr>
        <w:t xml:space="preserve">Tableau de bord fiscal mensuel</w:t>
      </w:r>
    </w:p>
    <w:p>
      <w:pPr>
        <w:spacing w:after="140"/>
      </w:pPr>
      <w:r>
        <w:rPr>
          <w:sz w:val="24"/>
          <w:szCs w:val="24"/>
        </w:rPr>
        <w:t xml:space="preserve">Présentez à la direction chiffre d’affaires, encaissements, marge brute, résultat fiscal estimé, acomptes payés, prochaines échéances, contrôles ouverts et documents expirant bientôt. Le tableau doit permettre une décision, pas seulement reproduire le grand livre.</w:t>
      </w:r>
    </w:p>
    <w:p>
      <w:pPr>
        <w:spacing w:after="140"/>
      </w:pPr>
      <w:r>
        <w:rPr>
          <w:sz w:val="24"/>
          <w:szCs w:val="24"/>
        </w:rPr>
        <w:t xml:space="preserve">Si les ventes augmentent mais la trésorerie baisse, recherchez l’effet des acomptes, de la croissance du stock, des délais clients et des paiements. Une alerte précoce évite pénalités et crise de paiement.</w:t>
      </w:r>
    </w:p>
    <w:p>
      <w:pPr>
        <w:spacing w:after="140"/>
      </w:pPr>
      <w:r>
        <w:rPr>
          <w:sz w:val="24"/>
          <w:szCs w:val="24"/>
        </w:rPr>
        <w:t xml:space="preserve">Erreurs fréquentes</w:t>
      </w:r>
    </w:p>
    <w:p>
      <w:pPr>
        <w:spacing w:after="140"/>
      </w:pPr>
      <w:r>
        <w:rPr>
          <w:sz w:val="24"/>
          <w:szCs w:val="24"/>
        </w:rPr>
        <w:t xml:space="preserve">Utiliser un taux sans vérifier date et catégorie.</w:t>
      </w:r>
    </w:p>
    <w:p>
      <w:pPr>
        <w:spacing w:after="140"/>
      </w:pPr>
      <w:r>
        <w:rPr>
          <w:sz w:val="24"/>
          <w:szCs w:val="24"/>
        </w:rPr>
        <w:t xml:space="preserve">Oublier l’imputation d’un acompte.</w:t>
      </w:r>
    </w:p>
    <w:p>
      <w:pPr>
        <w:spacing w:after="140"/>
      </w:pPr>
      <w:r>
        <w:rPr>
          <w:sz w:val="24"/>
          <w:szCs w:val="24"/>
        </w:rPr>
        <w:t xml:space="preserve">Signer sans répartir timbre et impôts.</w:t>
      </w:r>
    </w:p>
    <w:p>
      <w:pPr>
        <w:spacing w:after="140"/>
      </w:pPr>
      <w:r>
        <w:rPr>
          <w:sz w:val="24"/>
          <w:szCs w:val="24"/>
        </w:rPr>
        <w:t xml:space="preserve">Demander le quitus au dernier moment.</w:t>
      </w:r>
    </w:p>
    <w:p>
      <w:pPr>
        <w:spacing w:after="140"/>
      </w:pPr>
      <w:r>
        <w:rPr>
          <w:sz w:val="24"/>
          <w:szCs w:val="24"/>
        </w:rPr>
        <w:t xml:space="preserve">Garder une facture sans preuve de paiement ou livraison.</w:t>
      </w:r>
    </w:p>
    <w:p>
      <w:pPr>
        <w:spacing w:after="140"/>
      </w:pPr>
      <w:r>
        <w:rPr>
          <w:sz w:val="24"/>
          <w:szCs w:val="24"/>
        </w:rPr>
        <w:t xml:space="preserve">Confondre impôt sur salaires et assurance sociale.</w:t>
      </w:r>
    </w:p>
    <w:p>
      <w:pPr>
        <w:spacing w:after="140"/>
      </w:pPr>
      <w:r>
        <w:rPr>
          <w:sz w:val="24"/>
          <w:szCs w:val="24"/>
        </w:rPr>
        <w:t xml:space="preserve">Ne pas mettre à jour activité ou adresse.</w:t>
      </w:r>
    </w:p>
    <w:p>
      <w:pPr>
        <w:spacing w:after="140"/>
      </w:pPr>
      <w:r>
        <w:rPr>
          <w:sz w:val="24"/>
          <w:szCs w:val="24"/>
        </w:rPr>
        <w:t xml:space="preserve">Checklist pratique</w:t>
      </w:r>
    </w:p>
    <w:p>
      <w:pPr>
        <w:spacing w:after="140"/>
      </w:pPr>
      <w:r>
        <w:rPr>
          <w:sz w:val="24"/>
          <w:szCs w:val="24"/>
        </w:rPr>
        <w:t xml:space="preserve">Identifier l’impôt ou la redevance et son texte.</w:t>
      </w:r>
    </w:p>
    <w:p>
      <w:pPr>
        <w:spacing w:after="140"/>
      </w:pPr>
      <w:r>
        <w:rPr>
          <w:sz w:val="24"/>
          <w:szCs w:val="24"/>
        </w:rPr>
        <w:t xml:space="preserve">Confirmer son entrée en vigueur à la date de l’opération.</w:t>
      </w:r>
    </w:p>
    <w:p>
      <w:pPr>
        <w:spacing w:after="140"/>
      </w:pPr>
      <w:r>
        <w:rPr>
          <w:sz w:val="24"/>
          <w:szCs w:val="24"/>
        </w:rPr>
        <w:t xml:space="preserve">Identifier le redevable et l’assiette.</w:t>
      </w:r>
    </w:p>
    <w:p>
      <w:pPr>
        <w:spacing w:after="140"/>
      </w:pPr>
      <w:r>
        <w:rPr>
          <w:sz w:val="24"/>
          <w:szCs w:val="24"/>
        </w:rPr>
        <w:t xml:space="preserve">Lire les conditions d’exonération.</w:t>
      </w:r>
    </w:p>
    <w:p>
      <w:pPr>
        <w:spacing w:after="140"/>
      </w:pPr>
      <w:r>
        <w:rPr>
          <w:sz w:val="24"/>
          <w:szCs w:val="24"/>
        </w:rPr>
        <w:t xml:space="preserve">Rapprocher numéro fiscal, registre, adresse et activité.</w:t>
      </w:r>
    </w:p>
    <w:p>
      <w:pPr>
        <w:spacing w:after="140"/>
      </w:pPr>
      <w:r>
        <w:rPr>
          <w:sz w:val="24"/>
          <w:szCs w:val="24"/>
        </w:rPr>
        <w:t xml:space="preserve">Clôturer factures, banque, stock et paie.</w:t>
      </w:r>
    </w:p>
    <w:p>
      <w:pPr>
        <w:spacing w:after="140"/>
      </w:pPr>
      <w:r>
        <w:rPr>
          <w:sz w:val="24"/>
          <w:szCs w:val="24"/>
        </w:rPr>
        <w:t xml:space="preserve">Rapprocher acomptes et retenues.</w:t>
      </w:r>
    </w:p>
    <w:p>
      <w:pPr>
        <w:spacing w:after="140"/>
      </w:pPr>
      <w:r>
        <w:rPr>
          <w:sz w:val="24"/>
          <w:szCs w:val="24"/>
        </w:rPr>
        <w:t xml:space="preserve">Confirmer délais et mode de paiement.</w:t>
      </w:r>
    </w:p>
    <w:p>
      <w:pPr>
        <w:spacing w:after="140"/>
      </w:pPr>
      <w:r>
        <w:rPr>
          <w:sz w:val="24"/>
          <w:szCs w:val="24"/>
        </w:rPr>
        <w:t xml:space="preserve">Conserver déclaration, reçu et numéro d’opération.</w:t>
      </w:r>
    </w:p>
    <w:p>
      <w:pPr>
        <w:spacing w:after="140"/>
      </w:pPr>
      <w:r>
        <w:rPr>
          <w:sz w:val="24"/>
          <w:szCs w:val="24"/>
        </w:rPr>
        <w:t xml:space="preserve">Noter les dates de suivi et recours.</w:t>
      </w:r>
    </w:p>
    <w:p>
      <w:pPr>
        <w:spacing w:after="140"/>
      </w:pPr>
      <w:r>
        <w:rPr>
          <w:sz w:val="24"/>
          <w:szCs w:val="24"/>
        </w:rPr>
        <w:t xml:space="preserve">Vérifier les sources officielles</w:t>
      </w:r>
    </w:p>
    <w:p>
      <w:pPr>
        <w:spacing w:after="140"/>
      </w:pPr>
      <w:r>
        <w:rPr>
          <w:sz w:val="24"/>
          <w:szCs w:val="24"/>
        </w:rPr>
        <w:t xml:space="preserve">Consultez la Commission générale des impôts et redevances, ses services aux contribuables et les annonces du ministère. Les références 2026 incluent la réforme et la numérisation de mars, la facture électronique d’avril et la décision sur l’acompte importateur.</w:t>
      </w:r>
    </w:p>
    <w:p>
      <w:pPr>
        <w:spacing w:after="140"/>
      </w:pPr>
      <w:r>
        <w:rPr>
          <w:sz w:val="24"/>
          <w:szCs w:val="24"/>
        </w:rPr>
        <w:t xml:space="preserve">Comment Bsouria aide</w:t>
      </w:r>
    </w:p>
    <w:p>
      <w:pPr>
        <w:spacing w:after="140"/>
      </w:pPr>
      <w:r>
        <w:rPr>
          <w:sz w:val="24"/>
          <w:szCs w:val="24"/>
        </w:rPr>
        <w:t xml:space="preserve">Comparez les prestataires dans l’Annuaire, suivez les opportunités et lisez les articles actualisés. La page À propos de Bsouria explique la méthode et la page Contact permet de signaler une source officielle ou une correction.</w:t>
      </w:r>
    </w:p>
    <w:p>
      <w:pPr>
        <w:spacing w:after="140"/>
      </w:pPr>
      <w:r>
        <w:rPr>
          <w:sz w:val="24"/>
          <w:szCs w:val="24"/>
        </w:rPr>
        <w:t xml:space="preserve">Bonnes pratiques</w:t>
      </w:r>
    </w:p>
    <w:p>
      <w:pPr>
        <w:spacing w:after="140"/>
      </w:pPr>
      <w:r>
        <w:rPr>
          <w:sz w:val="24"/>
          <w:szCs w:val="24"/>
        </w:rPr>
        <w:t xml:space="preserve">Politique écrite de facturation et conservation.</w:t>
      </w:r>
    </w:p>
    <w:p>
      <w:pPr>
        <w:spacing w:after="140"/>
      </w:pPr>
      <w:r>
        <w:rPr>
          <w:sz w:val="24"/>
          <w:szCs w:val="24"/>
        </w:rPr>
        <w:t xml:space="preserve">Séparation entre saisie et approbation du paiement.</w:t>
      </w:r>
    </w:p>
    <w:p>
      <w:pPr>
        <w:spacing w:after="140"/>
      </w:pPr>
      <w:r>
        <w:rPr>
          <w:sz w:val="24"/>
          <w:szCs w:val="24"/>
        </w:rPr>
        <w:t xml:space="preserve">Rapprochement mensuel banque, stock, douane et comptabilité.</w:t>
      </w:r>
    </w:p>
    <w:p>
      <w:pPr>
        <w:spacing w:after="140"/>
      </w:pPr>
      <w:r>
        <w:rPr>
          <w:sz w:val="24"/>
          <w:szCs w:val="24"/>
        </w:rPr>
        <w:t xml:space="preserve">Révision fiscale des contrats.</w:t>
      </w:r>
    </w:p>
    <w:p>
      <w:pPr>
        <w:spacing w:after="140"/>
      </w:pPr>
      <w:r>
        <w:rPr>
          <w:sz w:val="24"/>
          <w:szCs w:val="24"/>
        </w:rPr>
        <w:t xml:space="preserve">Avis écrit pour les opérations importantes.</w:t>
      </w:r>
    </w:p>
    <w:p>
      <w:pPr>
        <w:spacing w:after="140"/>
      </w:pPr>
      <w:r>
        <w:rPr>
          <w:sz w:val="24"/>
          <w:szCs w:val="24"/>
        </w:rPr>
        <w:t xml:space="preserve">Dossier « changements 2026 ».</w:t>
      </w:r>
    </w:p>
    <w:p>
      <w:pPr>
        <w:spacing w:after="140"/>
      </w:pPr>
      <w:r>
        <w:rPr>
          <w:sz w:val="24"/>
          <w:szCs w:val="24"/>
        </w:rPr>
        <w:t xml:space="preserve">Résumé</w:t>
      </w:r>
    </w:p>
    <w:p>
      <w:pPr>
        <w:spacing w:after="140"/>
      </w:pPr>
      <w:r>
        <w:rPr>
          <w:sz w:val="24"/>
          <w:szCs w:val="24"/>
        </w:rPr>
        <w:t xml:space="preserve">Une bonne gestion fiscale ne consiste pas à rechercher le montant le plus faible à tout prix, mais à déterminer un montant correct, défendable et payé à temps. En période de réforme, la veille et les pièces sont plus utiles que la mémorisation des taux.</w:t>
      </w:r>
    </w:p>
    <w:p>
      <w:pPr>
        <w:spacing w:after="140"/>
      </w:pPr>
      <w:r>
        <w:rPr>
          <w:sz w:val="24"/>
          <w:szCs w:val="24"/>
        </w:rPr>
        <w:t xml:space="preserve">Sources</w:t>
      </w:r>
    </w:p>
    <w:p>
      <w:pPr>
        <w:spacing w:after="140"/>
      </w:pPr>
      <w:r>
        <w:rPr>
          <w:sz w:val="24"/>
          <w:szCs w:val="24"/>
        </w:rPr>
        <w:t xml:space="preserve">Commission générale des impôts et redevances.</w:t>
      </w:r>
    </w:p>
    <w:p>
      <w:pPr>
        <w:spacing w:after="140"/>
      </w:pPr>
      <w:r>
        <w:rPr>
          <w:sz w:val="24"/>
          <w:szCs w:val="24"/>
        </w:rPr>
        <w:t xml:space="preserve">Réforme fiscale et numérisation, 19 mars 2026.</w:t>
      </w:r>
    </w:p>
    <w:p>
      <w:pPr>
        <w:spacing w:after="140"/>
      </w:pPr>
      <w:r>
        <w:rPr>
          <w:sz w:val="24"/>
          <w:szCs w:val="24"/>
        </w:rPr>
        <w:t xml:space="preserve">Stratégie et e-facture, 9 avril 2026.</w:t>
      </w:r>
    </w:p>
    <w:p>
      <w:pPr>
        <w:spacing w:after="140"/>
      </w:pPr>
      <w:r>
        <w:rPr>
          <w:sz w:val="24"/>
          <w:szCs w:val="24"/>
        </w:rPr>
        <w:t xml:space="preserve">Acompte importateur de 2 % et quitus, 24 mars 2026.</w:t>
      </w:r>
    </w:p>
    <w:p>
      <w:pPr>
        <w:spacing w:after="140"/>
      </w:pPr>
      <w:r>
        <w:rPr>
          <w:sz w:val="24"/>
          <w:szCs w:val="24"/>
        </w:rPr>
        <w:t xml:space="preserve">Coopération technique avec le FMI, 12 juin 2026.</w:t>
      </w:r>
    </w:p>
    <w:p>
      <w:pPr>
        <w:spacing w:after="140"/>
      </w:pPr>
      <w:r>
        <w:rPr>
          <w:sz w:val="24"/>
          <w:szCs w:val="24"/>
        </w:rPr>
        <w:t xml:space="preserve">Loi 15/2021 sur les ventes immobilières.</w:t>
      </w:r>
    </w:p>
    <w:p>
      <w:pPr>
        <w:spacing w:after="140"/>
      </w:pPr>
      <w:r>
        <w:rPr>
          <w:sz w:val="24"/>
          <w:szCs w:val="24"/>
        </w:rPr>
        <w:t xml:space="preserve">Portail des recettes du FMI.</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Impôts et redevances en Syrie en 2026 : guide pratique pour entreprises et particuliers</dc:title>
  <dc:creator>Bsouria Editorial Team</dc:creator>
  <cp:lastModifiedBy>Bsouria</cp:lastModifiedBy>
  <dcterms:created xsi:type="dcterms:W3CDTF">2026-09-15T14:24:46Z</dcterms:created>
</cp:coreProperties>
</file>