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Importer et exporter vers et depuis la Syrie en 2026 : procédures, documents et douane</w:t>
      </w:r>
    </w:p>
    <w:p>
      <w:pPr/>
      <w:r>
        <w:rPr>
          <w:i/>
          <w:color w:val="64736B"/>
        </w:rPr>
        <w:t>Bsouria Editorial Team · 2026-07-26</w:t>
      </w:r>
    </w:p>
    <w:p>
      <w:pPr>
        <w:spacing w:after="220"/>
      </w:pPr>
      <w:r>
        <w:rPr>
          <w:i/>
        </w:rPr>
        <w:t>Guide opérationnel actualisé pour importer et exporter vers et depuis la Syrie : HS, licences, contrats, paiements, transport, assurance, douane, conformité et checklist.</w:t>
      </w:r>
    </w:p>
    <w:p>
      <w:pPr>
        <w:spacing w:after="140"/>
      </w:pPr>
      <w:r>
        <w:rPr>
          <w:sz w:val="24"/>
          <w:szCs w:val="24"/>
        </w:rPr>
        <w:t xml:space="preserve">Importer et exporter ne consistent pas simplement à acheter une marchandise à l’étranger ou à envoyer un produit sur un autre marché. Une opération réussie forme une chaîne continue : définition du produit et classement douanier, vérification du fournisseur ou de l’acheteur, autorisations, normes, contrat, paiement, transport, assurance, dédouanement, livraison et traitement des manquants, dommages ou litiges. Une faiblesse dans un seul maillon peut transformer la marge attendue en pénalités, retards, marchandises immobilisées ou perte totale.</w:t>
      </w:r>
    </w:p>
    <w:p>
      <w:pPr>
        <w:spacing w:after="140"/>
      </w:pPr>
      <w:r>
        <w:rPr>
          <w:sz w:val="24"/>
          <w:szCs w:val="24"/>
        </w:rPr>
        <w:t xml:space="preserve">Dernière révision éditoriale : 25 juillet 2026. Ce guide sert à l’information et à la planification. Il ne remplace pas les instructions des douanes, du ministère compétent, d’une banque ou d’un conseil juridique qualifié. Les listes de produits restreints, tarifs, frais, modalités de transfert et conditions de transport peuvent évoluer. Confirmez les exigences applicables au produit exact, au pays, à l’itinéraire et à la chaîne bancaire avant de verser un acompte ou de charger la marchandise.</w:t>
      </w:r>
    </w:p>
    <w:p>
      <w:pPr>
        <w:spacing w:after="140"/>
      </w:pPr>
      <w:r>
        <w:rPr>
          <w:sz w:val="24"/>
          <w:szCs w:val="24"/>
        </w:rPr>
        <w:t xml:space="preserve">Que couvre ce guide ?</w:t>
      </w:r>
    </w:p>
    <w:p>
      <w:pPr>
        <w:spacing w:after="140"/>
      </w:pPr>
      <w:r>
        <w:rPr>
          <w:sz w:val="24"/>
          <w:szCs w:val="24"/>
        </w:rPr>
        <w:t xml:space="preserve">Ce guide explique comment structurer une opération d’importation ou d’exportation exécutable vers ou depuis la Syrie. Il s’adresse aux commerçants, fabricants, jeunes entreprises, agents, investisseurs et petites sociétés. Il ne suppose pas que tous les produits, origines, destinations et moyens de paiement suivent la même procédure. Son objectif est de fournir une méthode répétable pour poser les bonnes questions, réunir les preuves nécessaires et calculer les coûts et les risques avant de s’engager.</w:t>
      </w:r>
    </w:p>
    <w:p>
      <w:pPr>
        <w:spacing w:after="140"/>
      </w:pPr>
      <w:r>
        <w:rPr>
          <w:sz w:val="24"/>
          <w:szCs w:val="24"/>
        </w:rPr>
        <w:t xml:space="preserve">Avant de commencer, consultez la liste de due diligence avant une opportunité commerciale et recherchez fournisseurs, transitaires et prestataires dans l’Annuaire des entreprises. Vous pouvez également explorer les opportunités commerciales et les opportunités d’investissement liées à la production, à la distribution et au commerce.</w:t>
      </w:r>
    </w:p>
    <w:p>
      <w:pPr>
        <w:spacing w:after="140"/>
      </w:pPr>
      <w:r>
        <w:rPr>
          <w:sz w:val="24"/>
          <w:szCs w:val="24"/>
        </w:rPr>
        <w:t xml:space="preserve">Comprendre d’abord l’environnement réglementaire syrien actuel</w:t>
      </w:r>
    </w:p>
    <w:p>
      <w:pPr>
        <w:spacing w:after="140"/>
      </w:pPr>
      <w:r>
        <w:rPr>
          <w:sz w:val="24"/>
          <w:szCs w:val="24"/>
        </w:rPr>
        <w:t xml:space="preserve">Le cadre institutionnel syrien a connu des changements importants en 2025 et 2026, notamment la création de l’Autorité générale des points de passage terrestres et maritimes et la reconstitution du Comité national d’importation et d’exportation. Pour l’opérateur, la leçon pratique est claire : une ancienne circulaire ou l’expérience d’une expédition précédente ne doit pas être traitée comme une règle permanente. Recherchez la décision la plus récente, sa date d’entrée en vigueur, l’autorité émettrice, ses annexes, exceptions et modifications ultérieures.</w:t>
      </w:r>
    </w:p>
    <w:p>
      <w:pPr>
        <w:spacing w:after="140"/>
      </w:pPr>
      <w:r>
        <w:rPr>
          <w:sz w:val="24"/>
          <w:szCs w:val="24"/>
        </w:rPr>
        <w:t xml:space="preserve">Commencez par des sources officielles telles que le ministère syrien de l’Économie et de l’Industrie, les annonces relatives au Comité national d’importation et d’exportation et à l’Autorité générale des points de passage terrestres et maritimes. Ne vous fiez pas à une image de décision circulant sur une messagerie. Vérifiez le numéro, la date, le texte intégral et tout amendement postérieur. Notre guide sur la vérification des informations commerciales et juridiques explique comment distinguer une source primaire d’une information non officielle.</w:t>
      </w:r>
    </w:p>
    <w:p>
      <w:pPr>
        <w:spacing w:after="140"/>
      </w:pPr>
      <w:r>
        <w:rPr>
          <w:sz w:val="24"/>
          <w:szCs w:val="24"/>
        </w:rPr>
        <w:t xml:space="preserve">Définir précisément le type d’opération</w:t>
      </w:r>
    </w:p>
    <w:p>
      <w:pPr>
        <w:spacing w:after="140"/>
      </w:pPr>
      <w:r>
        <w:rPr>
          <w:sz w:val="24"/>
          <w:szCs w:val="24"/>
        </w:rPr>
        <w:t xml:space="preserve">Importation</w:t>
      </w:r>
    </w:p>
    <w:p>
      <w:pPr>
        <w:spacing w:after="140"/>
      </w:pPr>
      <w:r>
        <w:rPr>
          <w:sz w:val="24"/>
          <w:szCs w:val="24"/>
        </w:rPr>
        <w:t xml:space="preserve">L’importation fait entrer une marchandise en Syrie pour la consommation, la transformation ou la revente. Selon le produit, elle peut nécessiter un importateur habilité, une autorisation préalable, une licence, une inspection technique ou sanitaire, une preuve d’origine, des droits et taxes ainsi qu’un mécanisme bancaire particulier.</w:t>
      </w:r>
    </w:p>
    <w:p>
      <w:pPr>
        <w:spacing w:after="140"/>
      </w:pPr>
      <w:r>
        <w:rPr>
          <w:sz w:val="24"/>
          <w:szCs w:val="24"/>
        </w:rPr>
        <w:t xml:space="preserve">Exportation</w:t>
      </w:r>
    </w:p>
    <w:p>
      <w:pPr>
        <w:spacing w:after="140"/>
      </w:pPr>
      <w:r>
        <w:rPr>
          <w:sz w:val="24"/>
          <w:szCs w:val="24"/>
        </w:rPr>
        <w:t xml:space="preserve">L’exportation fait sortir une marchandise syrienne vers un autre pays. L’autorisation syrienne ne suffit pas : le produit doit aussi respecter les règles d’entrée du pays de destination, notamment l’étiquetage, l’emballage, les normes sanitaires ou techniques, les documents d’origine, les restrictions visant l’acheteur et l’usage final.</w:t>
      </w:r>
    </w:p>
    <w:p>
      <w:pPr>
        <w:spacing w:after="140"/>
      </w:pPr>
      <w:r>
        <w:rPr>
          <w:sz w:val="24"/>
          <w:szCs w:val="24"/>
        </w:rPr>
        <w:t xml:space="preserve">Transit et réexportation</w:t>
      </w:r>
    </w:p>
    <w:p>
      <w:pPr>
        <w:spacing w:after="140"/>
      </w:pPr>
      <w:r>
        <w:rPr>
          <w:sz w:val="24"/>
          <w:szCs w:val="24"/>
        </w:rPr>
        <w:t xml:space="preserve">Le transit permet à une marchandise de traverser un territoire sans entrer dans la consommation intérieure. La réexportation concerne généralement une marchandise préalablement admise sous un régime permettant sa sortie ultérieure. Ces opérations exigent une bonne maîtrise des garanties douanières, itinéraires autorisés, délais, scellés et preuves de sortie.</w:t>
      </w:r>
    </w:p>
    <w:p>
      <w:pPr>
        <w:spacing w:after="140"/>
      </w:pPr>
      <w:r>
        <w:rPr>
          <w:sz w:val="24"/>
          <w:szCs w:val="24"/>
        </w:rPr>
        <w:t xml:space="preserve">Admission temporaire</w:t>
      </w:r>
    </w:p>
    <w:p>
      <w:pPr>
        <w:spacing w:after="140"/>
      </w:pPr>
      <w:r>
        <w:rPr>
          <w:sz w:val="24"/>
          <w:szCs w:val="24"/>
        </w:rPr>
        <w:t xml:space="preserve">Elle peut concerner des salons, du matériel ou des intrants destinés à être transformés puis réexportés. L’exonération n’est pas automatique : délais, garanties et preuve de réexportation sont généralement requis. Un dépassement peut convertir l’opération en importation définitive avec droits et pénalités.</w:t>
      </w:r>
    </w:p>
    <w:p>
      <w:pPr>
        <w:spacing w:after="140"/>
      </w:pPr>
      <w:r>
        <w:rPr>
          <w:sz w:val="24"/>
          <w:szCs w:val="24"/>
        </w:rPr>
        <w:t xml:space="preserve">Le parcours complet, de l’idée à la livraison</w:t>
      </w:r>
    </w:p>
    <w:p>
      <w:pPr>
        <w:spacing w:after="140"/>
      </w:pPr>
      <w:r>
        <w:rPr>
          <w:sz w:val="24"/>
          <w:szCs w:val="24"/>
        </w:rPr>
        <w:t xml:space="preserve">Définir le produit, ses spécifications, la quantité et l’usage final.</w:t>
      </w:r>
    </w:p>
    <w:p>
      <w:pPr>
        <w:spacing w:after="140"/>
      </w:pPr>
      <w:r>
        <w:rPr>
          <w:sz w:val="24"/>
          <w:szCs w:val="24"/>
        </w:rPr>
        <w:t xml:space="preserve">Déterminer le code du Système harmonisé et vérifier restrictions et tarif.</w:t>
      </w:r>
    </w:p>
    <w:p>
      <w:pPr>
        <w:spacing w:after="140"/>
      </w:pPr>
      <w:r>
        <w:rPr>
          <w:sz w:val="24"/>
          <w:szCs w:val="24"/>
        </w:rPr>
        <w:t xml:space="preserve">Étudier la demande, les prix, les concurrents et la capacité réelle du marché.</w:t>
      </w:r>
    </w:p>
    <w:p>
      <w:pPr>
        <w:spacing w:after="140"/>
      </w:pPr>
      <w:r>
        <w:rPr>
          <w:sz w:val="24"/>
          <w:szCs w:val="24"/>
        </w:rPr>
        <w:t xml:space="preserve">Vérifier le fournisseur ou l’acheteur, les bénéficiaires effectifs et la capacité opérationnelle.</w:t>
      </w:r>
    </w:p>
    <w:p>
      <w:pPr>
        <w:spacing w:after="140"/>
      </w:pPr>
      <w:r>
        <w:rPr>
          <w:sz w:val="24"/>
          <w:szCs w:val="24"/>
        </w:rPr>
        <w:t xml:space="preserve">Obtenir les autorisations nécessaires avant tout engagement irréversible.</w:t>
      </w:r>
    </w:p>
    <w:p>
      <w:pPr>
        <w:spacing w:after="140"/>
      </w:pPr>
      <w:r>
        <w:rPr>
          <w:sz w:val="24"/>
          <w:szCs w:val="24"/>
        </w:rPr>
        <w:t xml:space="preserve">Demander des offres détaillées et comparer le coût rendu total.</w:t>
      </w:r>
    </w:p>
    <w:p>
      <w:pPr>
        <w:spacing w:after="140"/>
      </w:pPr>
      <w:r>
        <w:rPr>
          <w:sz w:val="24"/>
          <w:szCs w:val="24"/>
        </w:rPr>
        <w:t xml:space="preserve">Convenir de l’Incoterm, du lieu nommé et du contrat ou bon de commande.</w:t>
      </w:r>
    </w:p>
    <w:p>
      <w:pPr>
        <w:spacing w:after="140"/>
      </w:pPr>
      <w:r>
        <w:rPr>
          <w:sz w:val="24"/>
          <w:szCs w:val="24"/>
        </w:rPr>
        <w:t xml:space="preserve">Choisir le paiement, les documents et les garanties.</w:t>
      </w:r>
    </w:p>
    <w:p>
      <w:pPr>
        <w:spacing w:after="140"/>
      </w:pPr>
      <w:r>
        <w:rPr>
          <w:sz w:val="24"/>
          <w:szCs w:val="24"/>
        </w:rPr>
        <w:t xml:space="preserve">Préparer, inspecter, emballer, marquer et assurer la marchandise.</w:t>
      </w:r>
    </w:p>
    <w:p>
      <w:pPr>
        <w:spacing w:after="140"/>
      </w:pPr>
      <w:r>
        <w:rPr>
          <w:sz w:val="24"/>
          <w:szCs w:val="24"/>
        </w:rPr>
        <w:t xml:space="preserve">Établir les documents de transport, d’origine, de licence et de conformité.</w:t>
      </w:r>
    </w:p>
    <w:p>
      <w:pPr>
        <w:spacing w:after="140"/>
      </w:pPr>
      <w:r>
        <w:rPr>
          <w:sz w:val="24"/>
          <w:szCs w:val="24"/>
        </w:rPr>
        <w:t xml:space="preserve">Expédier, suivre, dédouaner, payer les charges et réceptionner.</w:t>
      </w:r>
    </w:p>
    <w:p>
      <w:pPr>
        <w:spacing w:after="140"/>
      </w:pPr>
      <w:r>
        <w:rPr>
          <w:sz w:val="24"/>
          <w:szCs w:val="24"/>
        </w:rPr>
        <w:t xml:space="preserve">Contrôler quantité et qualité, gérer les réclamations et clôturer le dossier.</w:t>
      </w:r>
    </w:p>
    <w:p>
      <w:pPr>
        <w:spacing w:after="140"/>
      </w:pPr>
      <w:r>
        <w:rPr>
          <w:sz w:val="24"/>
          <w:szCs w:val="24"/>
        </w:rPr>
        <w:t xml:space="preserve">Ces étapes sont interdépendantes. L’Incoterm influence l’assurance et le coût ; le code HS influence l’autorisation et les droits ; le paiement influence le jeu documentaire ; l’origine peut influencer les restrictions ou préférences. Gérez l’expédition comme un seul dossier contrôlé, et non comme une série de conversations séparées.</w:t>
      </w:r>
    </w:p>
    <w:p>
      <w:pPr>
        <w:spacing w:after="140"/>
      </w:pPr>
      <w:r>
        <w:rPr>
          <w:sz w:val="24"/>
          <w:szCs w:val="24"/>
        </w:rPr>
        <w:t xml:space="preserve">1. Définir le produit sans ambiguïté</w:t>
      </w:r>
    </w:p>
    <w:p>
      <w:pPr>
        <w:spacing w:after="140"/>
      </w:pPr>
      <w:r>
        <w:rPr>
          <w:sz w:val="24"/>
          <w:szCs w:val="24"/>
        </w:rPr>
        <w:t xml:space="preserve">Évitez les descriptions générales telles que « pièces détachées » ou « produits alimentaires ». Établissez une description commerciale et technique complète : nom usuel et scientifique si nécessaire, matière, usage, modèle, puissance ou capacité, composition, origine, marque, état neuf ou usagé, conditionnement, poids net et brut et certificats exigés. Une définition précise réduit les désaccords ultérieurs sur le classement, le prix, l’essai et l’acceptation.</w:t>
      </w:r>
    </w:p>
    <w:p>
      <w:pPr>
        <w:spacing w:after="140"/>
      </w:pPr>
      <w:r>
        <w:rPr>
          <w:sz w:val="24"/>
          <w:szCs w:val="24"/>
        </w:rPr>
        <w:t xml:space="preserve">Pour l’alimentaire, il peut falloir les ingrédients, dates de production et de péremption, conditions de stockage, origine, numéro de lot et étiquette arabe. Pour une machine : numéro de série, année, caractéristiques électriques, manuel et pièces de rechange. Pour un produit chimique : fiche de données de sécurité, numéro CAS et classement de transport dangereux.</w:t>
      </w:r>
    </w:p>
    <w:p>
      <w:pPr>
        <w:spacing w:after="140"/>
      </w:pPr>
      <w:r>
        <w:rPr>
          <w:sz w:val="24"/>
          <w:szCs w:val="24"/>
        </w:rPr>
        <w:t xml:space="preserve">2. Confirmer le code HS avant le prix final</w:t>
      </w:r>
    </w:p>
    <w:p>
      <w:pPr>
        <w:spacing w:after="140"/>
      </w:pPr>
      <w:r>
        <w:rPr>
          <w:sz w:val="24"/>
          <w:szCs w:val="24"/>
        </w:rPr>
        <w:t xml:space="preserve">Le Système harmonisé constitue le langage international de classement des marchandises. L’Organisation mondiale des douanes indique qu’il est largement utilisé dans le monde, avec un noyau commun à six chiffres et des chiffres nationaux supplémentaires pour les tarifs, statistiques et contrôles.</w:t>
      </w:r>
    </w:p>
    <w:p>
      <w:pPr>
        <w:spacing w:after="140"/>
      </w:pPr>
      <w:r>
        <w:rPr>
          <w:sz w:val="24"/>
          <w:szCs w:val="24"/>
        </w:rPr>
        <w:t xml:space="preserve">Ne recopiez pas sans vérification le code figurant sur une ancienne facture du fournisseur. Deux produits de nom similaire peuvent différer par la matière, la fonction, le degré de transformation ou la technologie et relever d’un autre code, d’autres droits ou d’une autre autorisation. Demandez un avis écrit à un commissionnaire en douane compétent, confrontez le produit aux notes de sections et de chapitres et sollicitez, si possible, un renseignement tarifaire préalable.</w:t>
      </w:r>
    </w:p>
    <w:p>
      <w:pPr>
        <w:spacing w:after="140"/>
      </w:pPr>
      <w:r>
        <w:rPr>
          <w:sz w:val="24"/>
          <w:szCs w:val="24"/>
        </w:rPr>
        <w:t xml:space="preserve">Règle pratique : ne commandez pas une importante quantité commerciale tant que la description, le classement HS et l’admissibilité ne sont pas raisonnablement stabilisés. Une erreur peut entraîner redressement, droits supplémentaires, pénalité, retard ou autorisations imprévues.</w:t>
      </w:r>
    </w:p>
    <w:p>
      <w:pPr>
        <w:spacing w:after="140"/>
      </w:pPr>
      <w:r>
        <w:rPr>
          <w:sz w:val="24"/>
          <w:szCs w:val="24"/>
        </w:rPr>
        <w:t xml:space="preserve">3. Vérifier interdictions, restrictions et autorisations sectorielles</w:t>
      </w:r>
    </w:p>
    <w:p>
      <w:pPr>
        <w:spacing w:after="140"/>
      </w:pPr>
      <w:r>
        <w:rPr>
          <w:sz w:val="24"/>
          <w:szCs w:val="24"/>
        </w:rPr>
        <w:t xml:space="preserve">Répartissez les marchandises en trois catégories : généralement admises, admises sous licence ou contrôle, et interdites ou strictement restreintes. L’autorité compétente varie selon le produit : santé, agriculture, industrie, télécommunications, environnement, normalisation, culture, sécurité ou autre organisme. Une restriction peut aussi provenir du pays exportateur ou d’un pays de transit, même si la Syrie accepte le produit.</w:t>
      </w:r>
    </w:p>
    <w:p>
      <w:pPr>
        <w:spacing w:after="140"/>
      </w:pPr>
      <w:r>
        <w:rPr>
          <w:sz w:val="24"/>
          <w:szCs w:val="24"/>
        </w:rPr>
        <w:t xml:space="preserve">Les médicaments et dispositifs médicaux, aliments, produits animaux et végétaux, semences, pesticides, appareils radio, produits chimiques, biens à double usage, batteries, marchandises dangereuses, véhicules d’occasion et produits de marque demandent souvent une attention accrue. Cette liste n’est pas exhaustive : obtenez une confirmation pour le produit et le code exacts.</w:t>
      </w:r>
    </w:p>
    <w:p>
      <w:pPr>
        <w:spacing w:after="140"/>
      </w:pPr>
      <w:r>
        <w:rPr>
          <w:sz w:val="24"/>
          <w:szCs w:val="24"/>
        </w:rPr>
        <w:t xml:space="preserve">Des mesures temporaires peuvent être adoptées pour protéger la production locale, gérer les devises ou répondre à une pénurie ou un excédent. Consultez les dernières décisions économiques officielles avant d’ouvrir un crédit documentaire ou d’autoriser le chargement.</w:t>
      </w:r>
    </w:p>
    <w:p>
      <w:pPr>
        <w:spacing w:after="140"/>
      </w:pPr>
      <w:r>
        <w:rPr>
          <w:sz w:val="24"/>
          <w:szCs w:val="24"/>
        </w:rPr>
        <w:t xml:space="preserve">4. Vérifier l’habilitation de votre entreprise</w:t>
      </w:r>
    </w:p>
    <w:p>
      <w:pPr>
        <w:spacing w:after="140"/>
      </w:pPr>
      <w:r>
        <w:rPr>
          <w:sz w:val="24"/>
          <w:szCs w:val="24"/>
        </w:rPr>
        <w:t xml:space="preserve">Une inscription au registre du commerce n’autorise pas nécessairement toute activité. Vérifiez que l’objet social couvre l’importation, l’exportation ou l’activité concernée, que l’immatriculation fiscale, les licences et adhésions exigées sont valides, et que le signataire est habilité. Contrôlez également les exigences bancaires, l’origine des fonds, la facturation, la conservation des dossiers et les permis sectoriels.</w:t>
      </w:r>
    </w:p>
    <w:p>
      <w:pPr>
        <w:spacing w:after="140"/>
      </w:pPr>
      <w:r>
        <w:rPr>
          <w:sz w:val="24"/>
          <w:szCs w:val="24"/>
        </w:rPr>
        <w:t xml:space="preserve">Pour rechercher un partenaire, un transitaire ou un prestataire logistique, l’Annuaire Bsouria peut constituer un point de départ, suivi d’une vérification indépendante. Les entreprises qualifiées peuvent aussi publier leur entreprise et présenter clairement leurs services.</w:t>
      </w:r>
    </w:p>
    <w:p>
      <w:pPr>
        <w:spacing w:after="140"/>
      </w:pPr>
      <w:r>
        <w:rPr>
          <w:sz w:val="24"/>
          <w:szCs w:val="24"/>
        </w:rPr>
        <w:t xml:space="preserve">5. Étudier le marché avant d’acheter</w:t>
      </w:r>
    </w:p>
    <w:p>
      <w:pPr>
        <w:spacing w:after="140"/>
      </w:pPr>
      <w:r>
        <w:rPr>
          <w:sz w:val="24"/>
          <w:szCs w:val="24"/>
        </w:rPr>
        <w:t xml:space="preserve">Une décision d’importation ne repose pas uniquement sur la question « Existe-t-il une demande ? ». Mesurez la taille et la qualité de la demande, les segments de clientèle, la rotation du stock, la saisonnalité, les concurrents, les substituts, la sensibilité au prix, les marges des distributeurs, les conditions de paiement locales, le risque de détérioration et le service après-vente. Pour les produits industriels, interrogez les utilisateurs finaux et techniciens, pas seulement les commerçants.</w:t>
      </w:r>
    </w:p>
    <w:p>
      <w:pPr>
        <w:spacing w:after="140"/>
      </w:pPr>
      <w:r>
        <w:rPr>
          <w:sz w:val="24"/>
          <w:szCs w:val="24"/>
        </w:rPr>
        <w:t xml:space="preserve">Les outils d’analyse de marché du Centre du commerce international et UN Comtrade permettent de comparer les flux par produit et pays. Ces données ne prennent pas la décision à votre place, mais révèlent tendances, fournisseurs potentiels et marchés concurrents.</w:t>
      </w:r>
    </w:p>
    <w:p>
      <w:pPr>
        <w:spacing w:after="140"/>
      </w:pPr>
      <w:r>
        <w:rPr>
          <w:sz w:val="24"/>
          <w:szCs w:val="24"/>
        </w:rPr>
        <w:t xml:space="preserve">Lorsque c’est possible, testez avec un échantillon ou une petite commande. Comparez le prix de vente prévu au coût rendu complet, et non au seul prix usine. Consultez aussi les articles sur le commerce et les guides pratiques de la plateforme.</w:t>
      </w:r>
    </w:p>
    <w:p>
      <w:pPr>
        <w:spacing w:after="140"/>
      </w:pPr>
      <w:r>
        <w:rPr>
          <w:sz w:val="24"/>
          <w:szCs w:val="24"/>
        </w:rPr>
        <w:t xml:space="preserve">6. Vérifier le fournisseur ou l’acheteur avant tout paiement</w:t>
      </w:r>
    </w:p>
    <w:p>
      <w:pPr>
        <w:spacing w:after="140"/>
      </w:pPr>
      <w:r>
        <w:rPr>
          <w:sz w:val="24"/>
          <w:szCs w:val="24"/>
        </w:rPr>
        <w:t xml:space="preserve">Demandez l’enregistrement légal, le numéro fiscal, l’adresse de l’établissement, les dirigeants, un compte bancaire au nom de l’entité, des références commerciales, le catalogue, les certificats qualité et les informations d’usine si le vendeur se dit fabricant. Confirmez l’adresse sur une carte, appelez un numéro obtenu indépendamment, demandez une visite vidéo en direct et examinez le domaine de messagerie et le site.</w:t>
      </w:r>
    </w:p>
    <w:p>
      <w:pPr>
        <w:spacing w:after="140"/>
      </w:pPr>
      <w:r>
        <w:rPr>
          <w:sz w:val="24"/>
          <w:szCs w:val="24"/>
        </w:rPr>
        <w:t xml:space="preserve">Ne payez pas un compte personnel ou une société étrangère au contrat sans justification juridique documentée et validation bancaire. Comparez le nom du bénéficiaire dans le contrat, la facture et les coordonnées bancaires. Contrôlez les bénéficiaires effectifs, sanctions, réputation et litiges. Le guide de vérification offre une méthode plus large, tandis que la liste de due diligence organise le dossier de la contrepartie.</w:t>
      </w:r>
    </w:p>
    <w:p>
      <w:pPr>
        <w:spacing w:after="140"/>
      </w:pPr>
      <w:r>
        <w:rPr>
          <w:sz w:val="24"/>
          <w:szCs w:val="24"/>
        </w:rPr>
        <w:t xml:space="preserve">Signaux d’alerte fréquents</w:t>
      </w:r>
    </w:p>
    <w:p>
      <w:pPr>
        <w:spacing w:after="140"/>
      </w:pPr>
      <w:r>
        <w:rPr>
          <w:sz w:val="24"/>
          <w:szCs w:val="24"/>
        </w:rPr>
        <w:t xml:space="preserve">Prix très inférieur au marché sans explication vérifiable.</w:t>
      </w:r>
    </w:p>
    <w:p>
      <w:pPr>
        <w:spacing w:after="140"/>
      </w:pPr>
      <w:r>
        <w:rPr>
          <w:sz w:val="24"/>
          <w:szCs w:val="24"/>
        </w:rPr>
        <w:t xml:space="preserve">Pression pour payer immédiatement ou changement bancaire de dernière minute.</w:t>
      </w:r>
    </w:p>
    <w:p>
      <w:pPr>
        <w:spacing w:after="140"/>
      </w:pPr>
      <w:r>
        <w:rPr>
          <w:sz w:val="24"/>
          <w:szCs w:val="24"/>
        </w:rPr>
        <w:t xml:space="preserve">Refus de fournir un échantillon, les registres ou une visite vidéo.</w:t>
      </w:r>
    </w:p>
    <w:p>
      <w:pPr>
        <w:spacing w:after="140"/>
      </w:pPr>
      <w:r>
        <w:rPr>
          <w:sz w:val="24"/>
          <w:szCs w:val="24"/>
        </w:rPr>
        <w:t xml:space="preserve">Incohérence entre société, adresse, courriel et compte bancaire.</w:t>
      </w:r>
    </w:p>
    <w:p>
      <w:pPr>
        <w:spacing w:after="140"/>
      </w:pPr>
      <w:r>
        <w:rPr>
          <w:sz w:val="24"/>
          <w:szCs w:val="24"/>
        </w:rPr>
        <w:t xml:space="preserve">Facture vague sans spécification, quantité ou condition de livraison.</w:t>
      </w:r>
    </w:p>
    <w:p>
      <w:pPr>
        <w:spacing w:after="140"/>
      </w:pPr>
      <w:r>
        <w:rPr>
          <w:sz w:val="24"/>
          <w:szCs w:val="24"/>
        </w:rPr>
        <w:t xml:space="preserve">Demande de sous-évaluer, modifier l’origine ou changer la description.</w:t>
      </w:r>
    </w:p>
    <w:p>
      <w:pPr>
        <w:spacing w:after="140"/>
      </w:pPr>
      <w:r>
        <w:rPr>
          <w:sz w:val="24"/>
          <w:szCs w:val="24"/>
        </w:rPr>
        <w:t xml:space="preserve">Certificats fournis uniquement en image, impossibles à confirmer.</w:t>
      </w:r>
    </w:p>
    <w:p>
      <w:pPr>
        <w:spacing w:after="140"/>
      </w:pPr>
      <w:r>
        <w:rPr>
          <w:sz w:val="24"/>
          <w:szCs w:val="24"/>
        </w:rPr>
        <w:t xml:space="preserve">7. Calculer le coût rendu complet</w:t>
      </w:r>
    </w:p>
    <w:p>
      <w:pPr>
        <w:spacing w:after="140"/>
      </w:pPr>
      <w:r>
        <w:rPr>
          <w:sz w:val="24"/>
          <w:szCs w:val="24"/>
        </w:rPr>
        <w:t xml:space="preserve">Le coût rendu comprend tout ce qui est nécessaire pour disposer de marchandises utilisables au lieu prévu : valeur du produit, emballage, transport intérieur à l’origine, frais d’exportation, inspection, documents d’origine, commission, fret international, assurance, manutention portuaire ou frontalière, déchargement, surestaries et stockage, courtier, droits, taxes, analyses locales, livraison intérieure, financement, change, pertes, retours et garantie.</w:t>
      </w:r>
    </w:p>
    <w:p>
      <w:pPr>
        <w:spacing w:after="140"/>
      </w:pPr>
      <w:r>
        <w:rPr>
          <w:sz w:val="24"/>
          <w:szCs w:val="24"/>
        </w:rPr>
        <w:t xml:space="preserve">Préparez un scénario central, prudent et de crise. Que se passe-t-il si le fret augmente de 20 %, si la marchandise a deux semaines de retard, si le taux de change évolue ou si un test supplémentaire est demandé ? Une marge qui disparaît au premier retard n’est pas robuste.</w:t>
      </w:r>
    </w:p>
    <w:p>
      <w:pPr>
        <w:spacing w:after="140"/>
      </w:pPr>
      <w:r>
        <w:rPr>
          <w:sz w:val="24"/>
          <w:szCs w:val="24"/>
        </w:rPr>
        <w:t xml:space="preserve">Formule de gestion simple : le coût rendu par unité vendable correspond au coût total de l’opération jusqu’à la livraison, divisé par le nombre d’unités réellement vendables. Ne divisez pas par la quantité achetée lorsque des échantillons, pertes ou dommages sont prévus.</w:t>
      </w:r>
    </w:p>
    <w:p>
      <w:pPr>
        <w:spacing w:after="140"/>
      </w:pPr>
      <w:r>
        <w:rPr>
          <w:sz w:val="24"/>
          <w:szCs w:val="24"/>
        </w:rPr>
        <w:t xml:space="preserve">8. Choisir un Incoterm adapté à vos capacités</w:t>
      </w:r>
    </w:p>
    <w:p>
      <w:pPr>
        <w:spacing w:after="140"/>
      </w:pPr>
      <w:r>
        <w:rPr>
          <w:sz w:val="24"/>
          <w:szCs w:val="24"/>
        </w:rPr>
        <w:t xml:space="preserve">Les règles Incoterms de la Chambre de commerce internationale répartissent tâches de transport, coûts et risques entre vendeur et acheteur. Elles ne déterminent pas la propriété, le paiement, la qualité, la loi applicable ou le règlement des litiges ; ces sujets doivent figurer au contrat.</w:t>
      </w:r>
    </w:p>
    <w:p>
      <w:pPr>
        <w:spacing w:after="140"/>
      </w:pPr>
      <w:r>
        <w:rPr>
          <w:sz w:val="24"/>
          <w:szCs w:val="24"/>
        </w:rPr>
        <w:t xml:space="preserve">Exemples pratiques</w:t>
      </w:r>
    </w:p>
    <w:p>
      <w:pPr>
        <w:spacing w:after="140"/>
      </w:pPr>
      <w:r>
        <w:rPr>
          <w:sz w:val="24"/>
          <w:szCs w:val="24"/>
        </w:rPr>
        <w:t xml:space="preserve">EXW : fait peser une forte charge sur l’acheteur dès les locaux du vendeur et peut être inadapté si l’acheteur ne peut pas gérer l’exportation dans le pays du fournisseur.</w:t>
      </w:r>
    </w:p>
    <w:p>
      <w:pPr>
        <w:spacing w:after="140"/>
      </w:pPr>
      <w:r>
        <w:rPr>
          <w:sz w:val="24"/>
          <w:szCs w:val="24"/>
        </w:rPr>
        <w:t xml:space="preserve">FCA : est souvent plus clair pour les conteneurs lorsque le vendeur remet la marchandise au transporteur en un lieu nommé.</w:t>
      </w:r>
    </w:p>
    <w:p>
      <w:pPr>
        <w:spacing w:after="140"/>
      </w:pPr>
      <w:r>
        <w:rPr>
          <w:sz w:val="24"/>
          <w:szCs w:val="24"/>
        </w:rPr>
        <w:t xml:space="preserve">FOB : s’applique au transport maritime ou fluvial et doit nommer le port d’embarquement. Il ne faut pas l’utiliser automatiquement pour chaque conteneur sans comprendre le point de transfert du risque.</w:t>
      </w:r>
    </w:p>
    <w:p>
      <w:pPr>
        <w:spacing w:after="140"/>
      </w:pPr>
      <w:r>
        <w:rPr>
          <w:sz w:val="24"/>
          <w:szCs w:val="24"/>
        </w:rPr>
        <w:t xml:space="preserve">CFR/CIF : comprennent le fret maritime jusqu’au port d’arrivée, et CIF inclut un niveau d’assurance. Le risque est toutefois transféré avant l’arrivée. Ne confondez pas le paiement du fret avec la charge du risque.</w:t>
      </w:r>
    </w:p>
    <w:p>
      <w:pPr>
        <w:spacing w:after="140"/>
      </w:pPr>
      <w:r>
        <w:rPr>
          <w:sz w:val="24"/>
          <w:szCs w:val="24"/>
        </w:rPr>
        <w:t xml:space="preserve">DAP/DPU/DDP : imposent davantage au vendeur. DDP semble pratique, mais peut être irréalisable si le vendeur étranger ne peut légalement ou fiscalement agir comme importateur dans le pays de destination.</w:t>
      </w:r>
    </w:p>
    <w:p>
      <w:pPr>
        <w:spacing w:after="140"/>
      </w:pPr>
      <w:r>
        <w:rPr>
          <w:sz w:val="24"/>
          <w:szCs w:val="24"/>
        </w:rPr>
        <w:t xml:space="preserve">Écrivez le terme complet : par exemple « FCA entrepôt du fournisseur, Gaziantep, Incoterms® 2020 ». Trois lettres sans lieu nommé ni version laissent une marge inutile au litige.</w:t>
      </w:r>
    </w:p>
    <w:p>
      <w:pPr>
        <w:spacing w:after="140"/>
      </w:pPr>
      <w:r>
        <w:rPr>
          <w:sz w:val="24"/>
          <w:szCs w:val="24"/>
        </w:rPr>
        <w:t xml:space="preserve">9. Rédiger un contrat décrivant l’exécution</w:t>
      </w:r>
    </w:p>
    <w:p>
      <w:pPr>
        <w:spacing w:after="140"/>
      </w:pPr>
      <w:r>
        <w:rPr>
          <w:sz w:val="24"/>
          <w:szCs w:val="24"/>
        </w:rPr>
        <w:t xml:space="preserve">Le contrat ou bon de commande doit préciser l’identité et le pouvoir des parties, le produit et sa spécification, la quantité et la tolérance, le prix et la devise, l’Incoterm et le lieu, le calendrier de production et d’expédition, l’emballage et l’étiquetage, les documents requis, l’inspection, l’acceptation, le paiement, la garantie, les pièces, le retard, la force majeure, la confidentialité, la propriété intellectuelle, la loi, la juridiction ou l’arbitrage et la langue qui prévaut.</w:t>
      </w:r>
    </w:p>
    <w:p>
      <w:pPr>
        <w:spacing w:after="140"/>
      </w:pPr>
      <w:r>
        <w:rPr>
          <w:sz w:val="24"/>
          <w:szCs w:val="24"/>
        </w:rPr>
        <w:t xml:space="preserve">Annexez spécifications, plans, photographies et échantillons approuvés. Remplacez « excellente qualité » par un critère mesurable. Remplacez « livraison rapide » par une date ou un délai déclenché par un événement clair. Définissez le traitement d’un manquant, d’un essai non conforme ou d’un retard.</w:t>
      </w:r>
    </w:p>
    <w:p>
      <w:pPr>
        <w:spacing w:after="140"/>
      </w:pPr>
      <w:r>
        <w:rPr>
          <w:sz w:val="24"/>
          <w:szCs w:val="24"/>
        </w:rPr>
        <w:t xml:space="preserve">10. Constituer le dossier documentaire</w:t>
      </w:r>
    </w:p>
    <w:p>
      <w:pPr>
        <w:spacing w:after="140"/>
      </w:pPr>
      <w:r>
        <w:rPr>
          <w:sz w:val="24"/>
          <w:szCs w:val="24"/>
        </w:rPr>
        <w:t xml:space="preserve">Le jeu exact varie selon le produit et l’itinéraire, mais comprend souvent :</w:t>
      </w:r>
    </w:p>
    <w:p>
      <w:pPr>
        <w:spacing w:after="140"/>
      </w:pPr>
      <w:r>
        <w:rPr>
          <w:sz w:val="24"/>
          <w:szCs w:val="24"/>
        </w:rPr>
        <w:t xml:space="preserve">Facture pro forma : offre et souvent base d’une demande de licence ou d’un paiement, sans être nécessairement la facture finale.</w:t>
      </w:r>
    </w:p>
    <w:p>
      <w:pPr>
        <w:spacing w:after="140"/>
      </w:pPr>
      <w:r>
        <w:rPr>
          <w:sz w:val="24"/>
          <w:szCs w:val="24"/>
        </w:rPr>
        <w:t xml:space="preserve">Facture commerciale : vendeur, acheteur, description, quantité, valeur, devise et conditions de livraison.</w:t>
      </w:r>
    </w:p>
    <w:p>
      <w:pPr>
        <w:spacing w:after="140"/>
      </w:pPr>
      <w:r>
        <w:rPr>
          <w:sz w:val="24"/>
          <w:szCs w:val="24"/>
        </w:rPr>
        <w:t xml:space="preserve">Liste de colisage : nombre de colis, contenu, poids, dimensions et marques.</w:t>
      </w:r>
    </w:p>
    <w:p>
      <w:pPr>
        <w:spacing w:after="140"/>
      </w:pPr>
      <w:r>
        <w:rPr>
          <w:sz w:val="24"/>
          <w:szCs w:val="24"/>
        </w:rPr>
        <w:t xml:space="preserve">Document de transport : connaissement, lettre de transport aérien ou lettre de voiture routière selon le mode.</w:t>
      </w:r>
    </w:p>
    <w:p>
      <w:pPr>
        <w:spacing w:after="140"/>
      </w:pPr>
      <w:r>
        <w:rPr>
          <w:sz w:val="24"/>
          <w:szCs w:val="24"/>
        </w:rPr>
        <w:t xml:space="preserve">Certificat d’origine : preuve de l’origine suivant les règles applicables, parfois à authentifier.</w:t>
      </w:r>
    </w:p>
    <w:p>
      <w:pPr>
        <w:spacing w:after="140"/>
      </w:pPr>
      <w:r>
        <w:rPr>
          <w:sz w:val="24"/>
          <w:szCs w:val="24"/>
        </w:rPr>
        <w:t xml:space="preserve">Licence ou autorisation d’importation/exportation : lorsqu’elle est exigée.</w:t>
      </w:r>
    </w:p>
    <w:p>
      <w:pPr>
        <w:spacing w:after="140"/>
      </w:pPr>
      <w:r>
        <w:rPr>
          <w:sz w:val="24"/>
          <w:szCs w:val="24"/>
        </w:rPr>
        <w:t xml:space="preserve">Certificat sanitaire, phytosanitaire, vétérinaire, d’analyse ou de conformité : selon le produit.</w:t>
      </w:r>
    </w:p>
    <w:p>
      <w:pPr>
        <w:spacing w:after="140"/>
      </w:pPr>
      <w:r>
        <w:rPr>
          <w:sz w:val="24"/>
          <w:szCs w:val="24"/>
        </w:rPr>
        <w:t xml:space="preserve">Police ou certificat d’assurance : si souscrit ou requis par le contrat ou le financement.</w:t>
      </w:r>
    </w:p>
    <w:p>
      <w:pPr>
        <w:spacing w:after="140"/>
      </w:pPr>
      <w:r>
        <w:rPr>
          <w:sz w:val="24"/>
          <w:szCs w:val="24"/>
        </w:rPr>
        <w:t xml:space="preserve">Liste de numéros de série, garantie et documents techniques : pour machines et équipements.</w:t>
      </w:r>
    </w:p>
    <w:p>
      <w:pPr>
        <w:spacing w:after="140"/>
      </w:pPr>
      <w:r>
        <w:rPr>
          <w:sz w:val="24"/>
          <w:szCs w:val="24"/>
        </w:rPr>
        <w:t xml:space="preserve">Créez une matrice indiquant le document, l’émetteur, l’échéance, le nombre d’originaux, la langue, l’authentification et le destinataire. Beaucoup de retards viennent d’un document correct reçu trop tard, établi sous un nom différent ou fourni dans un nombre d’exemplaires insuffisant.</w:t>
      </w:r>
    </w:p>
    <w:p>
      <w:pPr>
        <w:spacing w:after="140"/>
      </w:pPr>
      <w:r>
        <w:rPr>
          <w:sz w:val="24"/>
          <w:szCs w:val="24"/>
        </w:rPr>
        <w:t xml:space="preserve">11. Distinguer pays d’expédition et pays d’origine</w:t>
      </w:r>
    </w:p>
    <w:p>
      <w:pPr>
        <w:spacing w:after="140"/>
      </w:pPr>
      <w:r>
        <w:rPr>
          <w:sz w:val="24"/>
          <w:szCs w:val="24"/>
        </w:rPr>
        <w:t xml:space="preserve">Le pays d’expédition est le lieu de départ ; l’origine est le pays où le produit est considéré comme obtenu ou fabriqué selon les règles applicables. Un simple reconditionnement ou passage par un pays tiers ne change pas automatiquement l’origine. Une erreur peut affecter droits, préférences, restrictions et mentions destinées au consommateur.</w:t>
      </w:r>
    </w:p>
    <w:p>
      <w:pPr>
        <w:spacing w:after="140"/>
      </w:pPr>
      <w:r>
        <w:rPr>
          <w:sz w:val="24"/>
          <w:szCs w:val="24"/>
        </w:rPr>
        <w:t xml:space="preserve">Vérifiez la cohérence entre facture, certificat d’origine, emballage et étiquette, et confirmez l’autorité émettrice. Pour bénéficier d’un tarif préférentiel, le produit doit satisfaire la règle d’origine correspondante et non seulement être expédié depuis un pays partenaire.</w:t>
      </w:r>
    </w:p>
    <w:p>
      <w:pPr>
        <w:spacing w:after="140"/>
      </w:pPr>
      <w:r>
        <w:rPr>
          <w:sz w:val="24"/>
          <w:szCs w:val="24"/>
        </w:rPr>
        <w:t xml:space="preserve">12. Conformité technique, sanitaire et étiquetage</w:t>
      </w:r>
    </w:p>
    <w:p>
      <w:pPr>
        <w:spacing w:after="140"/>
      </w:pPr>
      <w:r>
        <w:rPr>
          <w:sz w:val="24"/>
          <w:szCs w:val="24"/>
        </w:rPr>
        <w:t xml:space="preserve">Avant la production, obtenez la spécification du marché de destination. Contrôlez langue obligatoire, coordonnées de l’importateur, ingrédients, avertissements, tension et fréquence, durée de conservation, origine, numéro de lot, mode d’emploi et marques de conformité. Ne reportez pas l’étiquetage jusqu’au port : le réétiquetage peut être coûteux ou interdit.</w:t>
      </w:r>
    </w:p>
    <w:p>
      <w:pPr>
        <w:spacing w:after="140"/>
      </w:pPr>
      <w:r>
        <w:rPr>
          <w:sz w:val="24"/>
          <w:szCs w:val="24"/>
        </w:rPr>
        <w:t xml:space="preserve">Pour les aliments, médicaments et produits agricoles, vérifiez enregistrement, échantillonnage, analyses, température et chaîne du froid. Pour les produits électriques, sécurité, compatibilité et prise. Pour le bois et les emballages, les traitements requis. Demandez au laboratoire de confirmer son champ d’accréditation ; un certificat général peut ne pas couvrir le test ou le modèle précis.</w:t>
      </w:r>
    </w:p>
    <w:p>
      <w:pPr>
        <w:spacing w:after="140"/>
      </w:pPr>
      <w:r>
        <w:rPr>
          <w:sz w:val="24"/>
          <w:szCs w:val="24"/>
        </w:rPr>
        <w:t xml:space="preserve">13. Choisir un paiement équilibrant les risques</w:t>
      </w:r>
    </w:p>
    <w:p>
      <w:pPr>
        <w:spacing w:after="140"/>
      </w:pPr>
      <w:r>
        <w:rPr>
          <w:sz w:val="24"/>
          <w:szCs w:val="24"/>
        </w:rPr>
        <w:t xml:space="preserve">Virement anticipé</w:t>
      </w:r>
    </w:p>
    <w:p>
      <w:pPr>
        <w:spacing w:after="140"/>
      </w:pPr>
      <w:r>
        <w:rPr>
          <w:sz w:val="24"/>
          <w:szCs w:val="24"/>
        </w:rPr>
        <w:t xml:space="preserve">Simple, mais risqué pour l’acheteur face à un nouveau fournisseur. Réduisez l’exposition par un acompte partiel, des étapes liées à la production et à l’inspection, et des recours clairs.</w:t>
      </w:r>
    </w:p>
    <w:p>
      <w:pPr>
        <w:spacing w:after="140"/>
      </w:pPr>
      <w:r>
        <w:rPr>
          <w:sz w:val="24"/>
          <w:szCs w:val="24"/>
        </w:rPr>
        <w:t xml:space="preserve">Remise documentaire</w:t>
      </w:r>
    </w:p>
    <w:p>
      <w:pPr>
        <w:spacing w:after="140"/>
      </w:pPr>
      <w:r>
        <w:rPr>
          <w:sz w:val="24"/>
          <w:szCs w:val="24"/>
        </w:rPr>
        <w:t xml:space="preserve">Les banques traitent des documents, pas la qualité du produit. Les instructions doivent être précises et les parties doivent comprendre l’effet d’un refus ou retard documentaire.</w:t>
      </w:r>
    </w:p>
    <w:p>
      <w:pPr>
        <w:spacing w:after="140"/>
      </w:pPr>
      <w:r>
        <w:rPr>
          <w:sz w:val="24"/>
          <w:szCs w:val="24"/>
        </w:rPr>
        <w:t xml:space="preserve">Crédit documentaire</w:t>
      </w:r>
    </w:p>
    <w:p>
      <w:pPr>
        <w:spacing w:after="140"/>
      </w:pPr>
      <w:r>
        <w:rPr>
          <w:sz w:val="24"/>
          <w:szCs w:val="24"/>
        </w:rPr>
        <w:t xml:space="preserve">Il peut réduire le risque de paiement s’il est bien structuré, mais exige des frais, de l’expertise et une conformité documentaire stricte. La page des services commerciaux de la Banque centrale de Syrie mentionne des services liés aux licences d’importation et aux crédits documentaires. Confirmez les conditions, devises, frais et correspondants bancaires auprès d’une banque agréée avant de signer.</w:t>
      </w:r>
    </w:p>
    <w:p>
      <w:pPr>
        <w:spacing w:after="140"/>
      </w:pPr>
      <w:r>
        <w:rPr>
          <w:sz w:val="24"/>
          <w:szCs w:val="24"/>
        </w:rPr>
        <w:t xml:space="preserve">Compte ouvert et crédit commercial</w:t>
      </w:r>
    </w:p>
    <w:p>
      <w:pPr>
        <w:spacing w:after="140"/>
      </w:pPr>
      <w:r>
        <w:rPr>
          <w:sz w:val="24"/>
          <w:szCs w:val="24"/>
        </w:rPr>
        <w:t xml:space="preserve">Utile dans une relation établie, mais il expose l’exportateur au non-paiement. Envisagez limite de crédit, assurance-crédit lorsqu’elle existe, garantie bancaire ou contrôle des documents conformément au droit applicable.</w:t>
      </w:r>
    </w:p>
    <w:p>
      <w:pPr>
        <w:spacing w:after="140"/>
      </w:pPr>
      <w:r>
        <w:rPr>
          <w:sz w:val="24"/>
          <w:szCs w:val="24"/>
        </w:rPr>
        <w:t xml:space="preserve">Le paiement fait partie du contrat : liez chaque tranche à un résultat vérifiable et définissez documents, délai de contestation, compte bénéficiaire, frais bancaires et procédure sécurisée de changement de compte.</w:t>
      </w:r>
    </w:p>
    <w:p>
      <w:pPr>
        <w:spacing w:after="140"/>
      </w:pPr>
      <w:r>
        <w:rPr>
          <w:sz w:val="24"/>
          <w:szCs w:val="24"/>
        </w:rPr>
        <w:t xml:space="preserve">14. Sanctions, contrôles à l’exportation et conformité bancaire</w:t>
      </w:r>
    </w:p>
    <w:p>
      <w:pPr>
        <w:spacing w:after="140"/>
      </w:pPr>
      <w:r>
        <w:rPr>
          <w:sz w:val="24"/>
          <w:szCs w:val="24"/>
        </w:rPr>
        <w:t xml:space="preserve">Le régime des sanctions visant la Syrie a fortement évolué. Toutefois, dire que « les sanctions ont été levées » ne signifie pas que toute personne, banque, marchandise, technologie, devise ou route est autorisée dans chaque pays. Les États-Unis ont révoqué le programme global de sanctions contre la Syrie à compter du 1er juillet 2025, tout en maintenant des sanctions ciblées et d’autres contrôles ; consultez la page officielle OFAC sur la Syrie. L’Union européenne a levé la plupart des sanctions économiques générales en mai 2025, tout en conservant des mesures sécuritaires et ciblées, puis a actualisé les listes en 2026 ; consultez le Conseil de l’Union européenne.</w:t>
      </w:r>
    </w:p>
    <w:p>
      <w:pPr>
        <w:spacing w:after="140"/>
      </w:pPr>
      <w:r>
        <w:rPr>
          <w:sz w:val="24"/>
          <w:szCs w:val="24"/>
        </w:rPr>
        <w:t xml:space="preserve">Si un fournisseur, une banque, un transporteur, un assureur ou une devise touche une autre juridiction, vérifiez aussi ses règles, notamment le guide britannique et les mesures canadiennes.</w:t>
      </w:r>
    </w:p>
    <w:p>
      <w:pPr>
        <w:spacing w:after="140"/>
      </w:pPr>
      <w:r>
        <w:rPr>
          <w:sz w:val="24"/>
          <w:szCs w:val="24"/>
        </w:rPr>
        <w:t xml:space="preserve">Filtrez les parties, bénéficiaires effectifs, banques, navires, transporteurs, biens et usage final. Les biens, technologies et logiciels à double usage peuvent relever de contrôles distincts des sanctions. Demandez un conseil spécialisé lorsque plusieurs juridictions se superposent et n’utilisez jamais un intermédiaire pour dissimuler la partie, l’origine ou l’usage.</w:t>
      </w:r>
    </w:p>
    <w:p>
      <w:pPr>
        <w:spacing w:after="140"/>
      </w:pPr>
      <w:r>
        <w:rPr>
          <w:sz w:val="24"/>
          <w:szCs w:val="24"/>
        </w:rPr>
        <w:t xml:space="preserve">15. Choisir le transport selon le produit, le délai et le coût total</w:t>
      </w:r>
    </w:p>
    <w:p>
      <w:pPr>
        <w:spacing w:after="140"/>
      </w:pPr>
      <w:r>
        <w:rPr>
          <w:sz w:val="24"/>
          <w:szCs w:val="24"/>
        </w:rPr>
        <w:t xml:space="preserve">Transport maritime</w:t>
      </w:r>
    </w:p>
    <w:p>
      <w:pPr>
        <w:spacing w:after="140"/>
      </w:pPr>
      <w:r>
        <w:rPr>
          <w:sz w:val="24"/>
          <w:szCs w:val="24"/>
        </w:rPr>
        <w:t xml:space="preserve">Adapté aux grands volumes, il exige la gestion du conteneur, de la réservation, des ports, du transit et des surestaries. Comparez conteneur complet et groupage en intégrant consolidation et dégroupage.</w:t>
      </w:r>
    </w:p>
    <w:p>
      <w:pPr>
        <w:spacing w:after="140"/>
      </w:pPr>
      <w:r>
        <w:rPr>
          <w:sz w:val="24"/>
          <w:szCs w:val="24"/>
        </w:rPr>
        <w:t xml:space="preserve">Transport routier</w:t>
      </w:r>
    </w:p>
    <w:p>
      <w:pPr>
        <w:spacing w:after="140"/>
      </w:pPr>
      <w:r>
        <w:rPr>
          <w:sz w:val="24"/>
          <w:szCs w:val="24"/>
        </w:rPr>
        <w:t xml:space="preserve">Essentiel au commerce régional, il dépend des frontières, itinéraires, permis du véhicule et du conducteur, assurance et documents de transit. Préparez une solution alternative si un poste frontière est congestionné ou change de fonctionnement.</w:t>
      </w:r>
    </w:p>
    <w:p>
      <w:pPr>
        <w:spacing w:after="140"/>
      </w:pPr>
      <w:r>
        <w:rPr>
          <w:sz w:val="24"/>
          <w:szCs w:val="24"/>
        </w:rPr>
        <w:t xml:space="preserve">Transport aérien</w:t>
      </w:r>
    </w:p>
    <w:p>
      <w:pPr>
        <w:spacing w:after="140"/>
      </w:pPr>
      <w:r>
        <w:rPr>
          <w:sz w:val="24"/>
          <w:szCs w:val="24"/>
        </w:rPr>
        <w:t xml:space="preserve">Rapide pour les biens urgents ou de grande valeur, mais coûteux et souvent facturé au poids volumétrique. Vérifiez les restrictions sur batteries, marchandises dangereuses, température et sécurité.</w:t>
      </w:r>
    </w:p>
    <w:p>
      <w:pPr>
        <w:spacing w:after="140"/>
      </w:pPr>
      <w:r>
        <w:rPr>
          <w:sz w:val="24"/>
          <w:szCs w:val="24"/>
        </w:rPr>
        <w:t xml:space="preserve">Transport multimodal</w:t>
      </w:r>
    </w:p>
    <w:p>
      <w:pPr>
        <w:spacing w:after="140"/>
      </w:pPr>
      <w:r>
        <w:rPr>
          <w:sz w:val="24"/>
          <w:szCs w:val="24"/>
        </w:rPr>
        <w:t xml:space="preserve">Il combine mer, route ou air. Identifiez la responsabilité à chaque transfert, l’émetteur du document et si l’assurance couvre tout le trajet ou seulement une partie.</w:t>
      </w:r>
    </w:p>
    <w:p>
      <w:pPr>
        <w:spacing w:after="140"/>
      </w:pPr>
      <w:r>
        <w:rPr>
          <w:sz w:val="24"/>
          <w:szCs w:val="24"/>
        </w:rPr>
        <w:t xml:space="preserve">16. Assurance des marchandises</w:t>
      </w:r>
    </w:p>
    <w:p>
      <w:pPr>
        <w:spacing w:after="140"/>
      </w:pPr>
      <w:r>
        <w:rPr>
          <w:sz w:val="24"/>
          <w:szCs w:val="24"/>
        </w:rPr>
        <w:t xml:space="preserve">La responsabilité légale du transporteur est souvent plafonnée et ne correspond pas à la valeur du chargement. Souscrivez une couverture adaptée : casse, vol, mouille, température, guerre ou grève si disponible. Lisez exclusions, franchise, méthode de valorisation et délais de réclamation.</w:t>
      </w:r>
    </w:p>
    <w:p>
      <w:pPr>
        <w:spacing w:after="140"/>
      </w:pPr>
      <w:r>
        <w:rPr>
          <w:sz w:val="24"/>
          <w:szCs w:val="24"/>
        </w:rPr>
        <w:t xml:space="preserve">Faites correspondre assuré, devise, valeur, trajet, description et Incoterm. Conservez photos de l’emballage, du chargement et des scellés. En cas de dommage, avertissez immédiatement transporteur et assureur, demandez une expertise et ne jetez pas l’emballage avant documentation.</w:t>
      </w:r>
    </w:p>
    <w:p>
      <w:pPr>
        <w:spacing w:after="140"/>
      </w:pPr>
      <w:r>
        <w:rPr>
          <w:sz w:val="24"/>
          <w:szCs w:val="24"/>
        </w:rPr>
        <w:t xml:space="preserve">17. Inspection avant expédition et préparation du dédouanement</w:t>
      </w:r>
    </w:p>
    <w:p>
      <w:pPr>
        <w:spacing w:after="140"/>
      </w:pPr>
      <w:r>
        <w:rPr>
          <w:sz w:val="24"/>
          <w:szCs w:val="24"/>
        </w:rPr>
        <w:t xml:space="preserve">L’inspection avant expédition est utile avec un nouveau fournisseur, un produit sensible ou une grande commande. Elle peut vérifier quantité, spécification, fonctionnement, emballage, étiquette, numéros de série, chargement et scellé. Définissez le plan d’échantillonnage, le standard d’acceptation et si le rapport conditionne le paiement.</w:t>
      </w:r>
    </w:p>
    <w:p>
      <w:pPr>
        <w:spacing w:after="140"/>
      </w:pPr>
      <w:r>
        <w:rPr>
          <w:sz w:val="24"/>
          <w:szCs w:val="24"/>
        </w:rPr>
        <w:t xml:space="preserve">L’inspection commerciale ne remplace pas le contrôle officiel douanier, sanitaire ou de conformité. Un prototype réussi ne prouve pas non plus que toute la production est identique ; prévoyez un contrôle pendant la fabrication ou un contrôle final aléatoire lorsque le risque le justifie.</w:t>
      </w:r>
    </w:p>
    <w:p>
      <w:pPr>
        <w:spacing w:after="140"/>
      </w:pPr>
      <w:r>
        <w:rPr>
          <w:sz w:val="24"/>
          <w:szCs w:val="24"/>
        </w:rPr>
        <w:t xml:space="preserve">18. Planifier le dédouanement avant l’arrivée</w:t>
      </w:r>
    </w:p>
    <w:p>
      <w:pPr>
        <w:spacing w:after="140"/>
      </w:pPr>
      <w:r>
        <w:rPr>
          <w:sz w:val="24"/>
          <w:szCs w:val="24"/>
        </w:rPr>
        <w:t xml:space="preserve">Envoyez au commissionnaire, avant l’expédition, un dossier comprenant facture, liste de colisage, HS, origine, transport, licences et certificats. Demandez les manquants, une estimation des charges, l’organisme susceptible de contrôler et les risques connus. Après le départ, suivez les originaux et les données de déclaration avant l’arrivée.</w:t>
      </w:r>
    </w:p>
    <w:p>
      <w:pPr>
        <w:spacing w:after="140"/>
      </w:pPr>
      <w:r>
        <w:rPr>
          <w:sz w:val="24"/>
          <w:szCs w:val="24"/>
        </w:rPr>
        <w:t xml:space="preserve">Le dédouanement peut inclure déclaration, contrôle documentaire, évaluation, examen ou prélèvement, paiement, mainlevée et livraison. Un seul jour de retard documentaire peut générer stockage et surestaries supérieurs aux honoraires du commissionnaire.</w:t>
      </w:r>
    </w:p>
    <w:p>
      <w:pPr>
        <w:spacing w:after="140"/>
      </w:pPr>
      <w:r>
        <w:rPr>
          <w:sz w:val="24"/>
          <w:szCs w:val="24"/>
        </w:rPr>
        <w:t xml:space="preserve">Choisissez un professionnel agréé, expérimenté sur le produit et le point d’entrée. Exigez un décompte détaillé et des reçus officiels. Ne donnez pas de formulaires signés en blanc et n’autorisez aucune modification de description ou de valeur sans accord écrit.</w:t>
      </w:r>
    </w:p>
    <w:p>
      <w:pPr>
        <w:spacing w:after="140"/>
      </w:pPr>
      <w:r>
        <w:rPr>
          <w:sz w:val="24"/>
          <w:szCs w:val="24"/>
        </w:rPr>
        <w:t xml:space="preserve">19. La valeur en douane n’est pas un chiffre choisi pour réduire les droits</w:t>
      </w:r>
    </w:p>
    <w:p>
      <w:pPr>
        <w:spacing w:after="140"/>
      </w:pPr>
      <w:r>
        <w:rPr>
          <w:sz w:val="24"/>
          <w:szCs w:val="24"/>
        </w:rPr>
        <w:t xml:space="preserve">Le cadre de l’OMC sur l’évaluation en douane décrit un système équitable, uniforme et neutre. La valeur transactionnelle est souvent le point de départ, sous réserve d’ajustements et de méthodes alternatives lorsqu’elle ne peut être acceptée. Emballage, commissions, apports, redevances, transport ou autres éléments peuvent être pertinents suivant les règles applicables.</w:t>
      </w:r>
    </w:p>
    <w:p>
      <w:pPr>
        <w:spacing w:after="140"/>
      </w:pPr>
      <w:r>
        <w:rPr>
          <w:sz w:val="24"/>
          <w:szCs w:val="24"/>
        </w:rPr>
        <w:t xml:space="preserve">Conservez contrat, commande, preuve de paiement, offres, échanges, fret et assurance. Sous-évaluer artificiellement la facture n’est pas une économie légitime : cela crée des risques juridiques, fiscaux, assurantiels et de réclamation.</w:t>
      </w:r>
    </w:p>
    <w:p>
      <w:pPr>
        <w:spacing w:after="140"/>
      </w:pPr>
      <w:r>
        <w:rPr>
          <w:sz w:val="24"/>
          <w:szCs w:val="24"/>
        </w:rPr>
        <w:t xml:space="preserve">Note importante sur les guides d’importation humanitaire</w:t>
      </w:r>
    </w:p>
    <w:p>
      <w:pPr>
        <w:spacing w:after="140"/>
      </w:pPr>
      <w:r>
        <w:rPr>
          <w:sz w:val="24"/>
          <w:szCs w:val="24"/>
        </w:rPr>
        <w:t xml:space="preserve">En juillet 2026, le Logistics Cluster dirigé par le PAM a publié des procédures pour l’importation en Syrie de fournitures alimentaires humanitaires et d’articles humanitaires non alimentaires. Ces documents aident à comprendre les catégories d’autorisations, de pièces et de coordination préalable, mais concernent les opérations humanitaires. Ils ne doivent pas être copiés dans une expédition commerciale comme s’ils constituaient le droit commercial général. Obtenez la procédure commerciale auprès de l’autorité syrienne compétente.</w:t>
      </w:r>
    </w:p>
    <w:p>
      <w:pPr>
        <w:spacing w:after="140"/>
      </w:pPr>
      <w:r>
        <w:rPr>
          <w:sz w:val="24"/>
          <w:szCs w:val="24"/>
        </w:rPr>
        <w:t xml:space="preserve">20. Étapes pratiques pour exporter depuis la Syrie</w:t>
      </w:r>
    </w:p>
    <w:p>
      <w:pPr>
        <w:spacing w:after="140"/>
      </w:pPr>
      <w:r>
        <w:rPr>
          <w:sz w:val="24"/>
          <w:szCs w:val="24"/>
        </w:rPr>
        <w:t xml:space="preserve">Confirmer l’habilitation de l’exportateur et le statut du produit.</w:t>
      </w:r>
    </w:p>
    <w:p>
      <w:pPr>
        <w:spacing w:after="140"/>
      </w:pPr>
      <w:r>
        <w:rPr>
          <w:sz w:val="24"/>
          <w:szCs w:val="24"/>
        </w:rPr>
        <w:t xml:space="preserve">Identifier les règles d’entrée, d’étiquetage et de conformité du marché cible.</w:t>
      </w:r>
    </w:p>
    <w:p>
      <w:pPr>
        <w:spacing w:after="140"/>
      </w:pPr>
      <w:r>
        <w:rPr>
          <w:sz w:val="24"/>
          <w:szCs w:val="24"/>
        </w:rPr>
        <w:t xml:space="preserve">Confirmer HS, règle d’origine et éventuelle préférence.</w:t>
      </w:r>
    </w:p>
    <w:p>
      <w:pPr>
        <w:spacing w:after="140"/>
      </w:pPr>
      <w:r>
        <w:rPr>
          <w:sz w:val="24"/>
          <w:szCs w:val="24"/>
        </w:rPr>
        <w:t xml:space="preserve">Présenter une offre claire : devise, Incoterm, lieu et validité.</w:t>
      </w:r>
    </w:p>
    <w:p>
      <w:pPr>
        <w:spacing w:after="140"/>
      </w:pPr>
      <w:r>
        <w:rPr>
          <w:sz w:val="24"/>
          <w:szCs w:val="24"/>
        </w:rPr>
        <w:t xml:space="preserve">Vérifier acheteur, banque et usage final.</w:t>
      </w:r>
    </w:p>
    <w:p>
      <w:pPr>
        <w:spacing w:after="140"/>
      </w:pPr>
      <w:r>
        <w:rPr>
          <w:sz w:val="24"/>
          <w:szCs w:val="24"/>
        </w:rPr>
        <w:t xml:space="preserve">Préparer contrat, calendrier de production et inspection.</w:t>
      </w:r>
    </w:p>
    <w:p>
      <w:pPr>
        <w:spacing w:after="140"/>
      </w:pPr>
      <w:r>
        <w:rPr>
          <w:sz w:val="24"/>
          <w:szCs w:val="24"/>
        </w:rPr>
        <w:t xml:space="preserve">Obtenir certificats, autorisations et authentifications.</w:t>
      </w:r>
    </w:p>
    <w:p>
      <w:pPr>
        <w:spacing w:after="140"/>
      </w:pPr>
      <w:r>
        <w:rPr>
          <w:sz w:val="24"/>
          <w:szCs w:val="24"/>
        </w:rPr>
        <w:t xml:space="preserve">Réserver transport et assurance et planifier le transit.</w:t>
      </w:r>
    </w:p>
    <w:p>
      <w:pPr>
        <w:spacing w:after="140"/>
      </w:pPr>
      <w:r>
        <w:rPr>
          <w:sz w:val="24"/>
          <w:szCs w:val="24"/>
        </w:rPr>
        <w:t xml:space="preserve">Déclarer et conserver preuve de sortie et de livraison.</w:t>
      </w:r>
    </w:p>
    <w:p>
      <w:pPr>
        <w:spacing w:after="140"/>
      </w:pPr>
      <w:r>
        <w:rPr>
          <w:sz w:val="24"/>
          <w:szCs w:val="24"/>
        </w:rPr>
        <w:t xml:space="preserve">Suivre encaissement, retours et service après-vente.</w:t>
      </w:r>
    </w:p>
    <w:p>
      <w:pPr>
        <w:spacing w:after="140"/>
      </w:pPr>
      <w:r>
        <w:rPr>
          <w:sz w:val="24"/>
          <w:szCs w:val="24"/>
        </w:rPr>
        <w:t xml:space="preserve">Un exportateur durable ne réalise pas une seule vente : il construit un dossier produit reproductible, une qualité constante, un emballage adapté et un historique des retours clients. Trouvez des partenariats dans la section Opportunités ou publiez une opportunité commerciale.</w:t>
      </w:r>
    </w:p>
    <w:p>
      <w:pPr>
        <w:spacing w:after="140"/>
      </w:pPr>
      <w:r>
        <w:rPr>
          <w:sz w:val="24"/>
          <w:szCs w:val="24"/>
        </w:rPr>
        <w:t xml:space="preserve">21. Étapes pratiques pour importer en Syrie</w:t>
      </w:r>
    </w:p>
    <w:p>
      <w:pPr>
        <w:spacing w:after="140"/>
      </w:pPr>
      <w:r>
        <w:rPr>
          <w:sz w:val="24"/>
          <w:szCs w:val="24"/>
        </w:rPr>
        <w:t xml:space="preserve">Confirmer l’admissibilité du produit, la licence et l’autorité sectorielle.</w:t>
      </w:r>
    </w:p>
    <w:p>
      <w:pPr>
        <w:spacing w:after="140"/>
      </w:pPr>
      <w:r>
        <w:rPr>
          <w:sz w:val="24"/>
          <w:szCs w:val="24"/>
        </w:rPr>
        <w:t xml:space="preserve">Tester la demande et calculer coût rendu et prix de vente réaliste.</w:t>
      </w:r>
    </w:p>
    <w:p>
      <w:pPr>
        <w:spacing w:after="140"/>
      </w:pPr>
      <w:r>
        <w:rPr>
          <w:sz w:val="24"/>
          <w:szCs w:val="24"/>
        </w:rPr>
        <w:t xml:space="preserve">Vérifier le fournisseur et demander échantillon, spécification et offre détaillée.</w:t>
      </w:r>
    </w:p>
    <w:p>
      <w:pPr>
        <w:spacing w:after="140"/>
      </w:pPr>
      <w:r>
        <w:rPr>
          <w:sz w:val="24"/>
          <w:szCs w:val="24"/>
        </w:rPr>
        <w:t xml:space="preserve">Confirmer HS, origine et documents avant l’acompte.</w:t>
      </w:r>
    </w:p>
    <w:p>
      <w:pPr>
        <w:spacing w:after="140"/>
      </w:pPr>
      <w:r>
        <w:rPr>
          <w:sz w:val="24"/>
          <w:szCs w:val="24"/>
        </w:rPr>
        <w:t xml:space="preserve">Convenir du contrat, de l’Incoterm et du paiement.</w:t>
      </w:r>
    </w:p>
    <w:p>
      <w:pPr>
        <w:spacing w:after="140"/>
      </w:pPr>
      <w:r>
        <w:rPr>
          <w:sz w:val="24"/>
          <w:szCs w:val="24"/>
        </w:rPr>
        <w:t xml:space="preserve">Approuver étiquette, emballage et conformité avant la production finale.</w:t>
      </w:r>
    </w:p>
    <w:p>
      <w:pPr>
        <w:spacing w:after="140"/>
      </w:pPr>
      <w:r>
        <w:rPr>
          <w:sz w:val="24"/>
          <w:szCs w:val="24"/>
        </w:rPr>
        <w:t xml:space="preserve">Inspecter et relier le résultat aux échéances de paiement.</w:t>
      </w:r>
    </w:p>
    <w:p>
      <w:pPr>
        <w:spacing w:after="140"/>
      </w:pPr>
      <w:r>
        <w:rPr>
          <w:sz w:val="24"/>
          <w:szCs w:val="24"/>
        </w:rPr>
        <w:t xml:space="preserve">Transmettre tôt le dossier à la banque, au courtier et au transporteur.</w:t>
      </w:r>
    </w:p>
    <w:p>
      <w:pPr>
        <w:spacing w:after="140"/>
      </w:pPr>
      <w:r>
        <w:rPr>
          <w:sz w:val="24"/>
          <w:szCs w:val="24"/>
        </w:rPr>
        <w:t xml:space="preserve">Suivre cargaison, originaux et échéances.</w:t>
      </w:r>
    </w:p>
    <w:p>
      <w:pPr>
        <w:spacing w:after="140"/>
      </w:pPr>
      <w:r>
        <w:rPr>
          <w:sz w:val="24"/>
          <w:szCs w:val="24"/>
        </w:rPr>
        <w:t xml:space="preserve">Inspecter à réception et notifier immédiatement toute réclamation.</w:t>
      </w:r>
    </w:p>
    <w:p>
      <w:pPr>
        <w:spacing w:after="140"/>
      </w:pPr>
      <w:r>
        <w:rPr>
          <w:sz w:val="24"/>
          <w:szCs w:val="24"/>
        </w:rPr>
        <w:t xml:space="preserve">22. Petites entreprises et expéditions d’essai</w:t>
      </w:r>
    </w:p>
    <w:p>
      <w:pPr>
        <w:spacing w:after="140"/>
      </w:pPr>
      <w:r>
        <w:rPr>
          <w:sz w:val="24"/>
          <w:szCs w:val="24"/>
        </w:rPr>
        <w:t xml:space="preserve">Une petite quantité ne supprime pas automatiquement les obligations. Le courrier express peut simplifier le transport, mais une marchandise commerciale peut encore exiger permis, inscription et droits. Commencez par un échantillon légal, demandez une facture correcte et confirmez que le transporteur accepte le produit et l’itinéraire. Ne fractionnez pas volontairement une expédition pour éviter déclaration ou taxes.</w:t>
      </w:r>
    </w:p>
    <w:p>
      <w:pPr>
        <w:spacing w:after="140"/>
      </w:pPr>
      <w:r>
        <w:rPr>
          <w:sz w:val="24"/>
          <w:szCs w:val="24"/>
        </w:rPr>
        <w:t xml:space="preserve">Pour un nouveau projet, testez séparément la qualité du produit, la réaction du marché et la répétabilité de la chaîne d’approvisionnement. Un bon échantillon ne prouve pas qu’un fournisseur livrera cent commandes avec la même qualité et au même délai.</w:t>
      </w:r>
    </w:p>
    <w:p>
      <w:pPr>
        <w:spacing w:after="140"/>
      </w:pPr>
      <w:r>
        <w:rPr>
          <w:sz w:val="24"/>
          <w:szCs w:val="24"/>
        </w:rPr>
        <w:t xml:space="preserve">23. Gérer retards, manquants, dommages et réclamations</w:t>
      </w:r>
    </w:p>
    <w:p>
      <w:pPr>
        <w:spacing w:after="140"/>
      </w:pPr>
      <w:r>
        <w:rPr>
          <w:sz w:val="24"/>
          <w:szCs w:val="24"/>
        </w:rPr>
        <w:t xml:space="preserve">Le contrat doit définir les délais de notification, preuves, recours et préciser si la solution est remplacement, réduction ou remboursement. À l’arrivée, examinez scellés, colis, poids et état avant de signer sans réserve. Photographiez, conservez l’emballage, obtenez un rapport du transporteur ou du terminal et avertissez assureur et fournisseur par écrit.</w:t>
      </w:r>
    </w:p>
    <w:p>
      <w:pPr>
        <w:spacing w:after="140"/>
      </w:pPr>
      <w:r>
        <w:rPr>
          <w:sz w:val="24"/>
          <w:szCs w:val="24"/>
        </w:rPr>
        <w:t xml:space="preserve">Identifiez la cause réelle : fabrication, emballage, chargement, transport, stockage ou dédouanement. Une réclamation adressée au mauvais responsable fait perdre du temps. Préservez vos droits dans les délais contractuels, légaux et assurantiels.</w:t>
      </w:r>
    </w:p>
    <w:p>
      <w:pPr>
        <w:spacing w:after="140"/>
      </w:pPr>
      <w:r>
        <w:rPr>
          <w:sz w:val="24"/>
          <w:szCs w:val="24"/>
        </w:rPr>
        <w:t xml:space="preserve">24. Refuser les raccourcis illégaux</w:t>
      </w:r>
    </w:p>
    <w:p>
      <w:pPr>
        <w:spacing w:after="140"/>
      </w:pPr>
      <w:r>
        <w:rPr>
          <w:sz w:val="24"/>
          <w:szCs w:val="24"/>
        </w:rPr>
        <w:t xml:space="preserve">Les pratiques à haut risque comprennent sous-évaluation de facture, description mensongère, falsification d’origine, certificat invalide, dissimulation du bénéficiaire effectif, paiement à un tiers non justifié, corruption, fractionnement pour contourner les contrôles et ignorance des restrictions d’exportation. Elles peuvent entraîner saisie, amende, exclusion bancaire, responsabilité pénale et atteinte à la réputation.</w:t>
      </w:r>
    </w:p>
    <w:p>
      <w:pPr>
        <w:spacing w:after="140"/>
      </w:pPr>
      <w:r>
        <w:rPr>
          <w:sz w:val="24"/>
          <w:szCs w:val="24"/>
        </w:rPr>
        <w:t xml:space="preserve">Si un intermédiaire affirme que « tout le monde fait ainsi », exigez la base juridique écrite. Ne signez jamais une déclaration non lue et ne laissez pas votre société être utilisée pour une cargaison dont vous ignorez le contenu ou les parties.</w:t>
      </w:r>
    </w:p>
    <w:p>
      <w:pPr>
        <w:spacing w:after="140"/>
      </w:pPr>
      <w:r>
        <w:rPr>
          <w:sz w:val="24"/>
          <w:szCs w:val="24"/>
        </w:rPr>
        <w:t xml:space="preserve">Erreurs fréquentes en import-export</w:t>
      </w:r>
    </w:p>
    <w:p>
      <w:pPr>
        <w:spacing w:after="140"/>
      </w:pPr>
      <w:r>
        <w:rPr>
          <w:sz w:val="24"/>
          <w:szCs w:val="24"/>
        </w:rPr>
        <w:t xml:space="preserve">Acheter avant de confirmer HS et admissibilité.</w:t>
      </w:r>
    </w:p>
    <w:p>
      <w:pPr>
        <w:spacing w:after="140"/>
      </w:pPr>
      <w:r>
        <w:rPr>
          <w:sz w:val="24"/>
          <w:szCs w:val="24"/>
        </w:rPr>
        <w:t xml:space="preserve">Comparer les prix usine sans calculer le coût rendu.</w:t>
      </w:r>
    </w:p>
    <w:p>
      <w:pPr>
        <w:spacing w:after="140"/>
      </w:pPr>
      <w:r>
        <w:rPr>
          <w:sz w:val="24"/>
          <w:szCs w:val="24"/>
        </w:rPr>
        <w:t xml:space="preserve">Utiliser un Incoterm sans lieu nommé ni compréhension du risque.</w:t>
      </w:r>
    </w:p>
    <w:p>
      <w:pPr>
        <w:spacing w:after="140"/>
      </w:pPr>
      <w:r>
        <w:rPr>
          <w:sz w:val="24"/>
          <w:szCs w:val="24"/>
        </w:rPr>
        <w:t xml:space="preserve">Attendre du fournisseur qu’il connaisse toutes les règles du pays cible.</w:t>
      </w:r>
    </w:p>
    <w:p>
      <w:pPr>
        <w:spacing w:after="140"/>
      </w:pPr>
      <w:r>
        <w:rPr>
          <w:sz w:val="24"/>
          <w:szCs w:val="24"/>
        </w:rPr>
        <w:t xml:space="preserve">Payer intégralement un nouveau fournisseur avant inspection.</w:t>
      </w:r>
    </w:p>
    <w:p>
      <w:pPr>
        <w:spacing w:after="140"/>
      </w:pPr>
      <w:r>
        <w:rPr>
          <w:sz w:val="24"/>
          <w:szCs w:val="24"/>
        </w:rPr>
        <w:t xml:space="preserve">Utiliser un contrat générique sans spécification mesurable.</w:t>
      </w:r>
    </w:p>
    <w:p>
      <w:pPr>
        <w:spacing w:after="140"/>
      </w:pPr>
      <w:r>
        <w:rPr>
          <w:sz w:val="24"/>
          <w:szCs w:val="24"/>
        </w:rPr>
        <w:t xml:space="preserve">Impliquer banque et commissionnaire seulement après l’arrivée.</w:t>
      </w:r>
    </w:p>
    <w:p>
      <w:pPr>
        <w:spacing w:after="140"/>
      </w:pPr>
      <w:r>
        <w:rPr>
          <w:sz w:val="24"/>
          <w:szCs w:val="24"/>
        </w:rPr>
        <w:t xml:space="preserve">Accepter des noms différents dans contrat, facture et compte.</w:t>
      </w:r>
    </w:p>
    <w:p>
      <w:pPr>
        <w:spacing w:after="140"/>
      </w:pPr>
      <w:r>
        <w:rPr>
          <w:sz w:val="24"/>
          <w:szCs w:val="24"/>
        </w:rPr>
        <w:t xml:space="preserve">Supposer que la levée générale des sanctions supprime tout contrôle.</w:t>
      </w:r>
    </w:p>
    <w:p>
      <w:pPr>
        <w:spacing w:after="140"/>
      </w:pPr>
      <w:r>
        <w:rPr>
          <w:sz w:val="24"/>
          <w:szCs w:val="24"/>
        </w:rPr>
        <w:t xml:space="preserve">Ne pas conserver un dossier complet de l’opération.</w:t>
      </w:r>
    </w:p>
    <w:p>
      <w:pPr>
        <w:spacing w:after="140"/>
      </w:pPr>
      <w:r>
        <w:rPr>
          <w:sz w:val="24"/>
          <w:szCs w:val="24"/>
        </w:rPr>
        <w:t xml:space="preserve">Checklist pratique avant de confirmer la commande</w:t>
      </w:r>
    </w:p>
    <w:p>
      <w:pPr>
        <w:spacing w:after="140"/>
      </w:pPr>
      <w:r>
        <w:rPr>
          <w:sz w:val="24"/>
          <w:szCs w:val="24"/>
        </w:rPr>
        <w:t xml:space="preserve">Produit et marché</w:t>
      </w:r>
    </w:p>
    <w:p>
      <w:pPr>
        <w:spacing w:after="140"/>
      </w:pPr>
      <w:r>
        <w:rPr>
          <w:sz w:val="24"/>
          <w:szCs w:val="24"/>
        </w:rPr>
        <w:t xml:space="preserve">Description, spécification et échantillon sont-ils approuvés ?</w:t>
      </w:r>
    </w:p>
    <w:p>
      <w:pPr>
        <w:spacing w:after="140"/>
      </w:pPr>
      <w:r>
        <w:rPr>
          <w:sz w:val="24"/>
          <w:szCs w:val="24"/>
        </w:rPr>
        <w:t xml:space="preserve">La demande et le prix de vente sont-ils démontrables ?</w:t>
      </w:r>
    </w:p>
    <w:p>
      <w:pPr>
        <w:spacing w:after="140"/>
      </w:pPr>
      <w:r>
        <w:rPr>
          <w:sz w:val="24"/>
          <w:szCs w:val="24"/>
        </w:rPr>
        <w:t xml:space="preserve">Pertes, garantie et service après-vente sont-ils inclus ?</w:t>
      </w:r>
    </w:p>
    <w:p>
      <w:pPr>
        <w:spacing w:after="140"/>
      </w:pPr>
      <w:r>
        <w:rPr>
          <w:sz w:val="24"/>
          <w:szCs w:val="24"/>
        </w:rPr>
        <w:t xml:space="preserve">Droit et douane</w:t>
      </w:r>
    </w:p>
    <w:p>
      <w:pPr>
        <w:spacing w:after="140"/>
      </w:pPr>
      <w:r>
        <w:rPr>
          <w:sz w:val="24"/>
          <w:szCs w:val="24"/>
        </w:rPr>
        <w:t xml:space="preserve">Le code HS est-il étayé ?</w:t>
      </w:r>
    </w:p>
    <w:p>
      <w:pPr>
        <w:spacing w:after="140"/>
      </w:pPr>
      <w:r>
        <w:rPr>
          <w:sz w:val="24"/>
          <w:szCs w:val="24"/>
        </w:rPr>
        <w:t xml:space="preserve">Le produit est-il admis et les autorisations valides ?</w:t>
      </w:r>
    </w:p>
    <w:p>
      <w:pPr>
        <w:spacing w:after="140"/>
      </w:pPr>
      <w:r>
        <w:rPr>
          <w:sz w:val="24"/>
          <w:szCs w:val="24"/>
        </w:rPr>
        <w:t xml:space="preserve">Origine, étiquette et conformité sont-elles correctes ?</w:t>
      </w:r>
    </w:p>
    <w:p>
      <w:pPr>
        <w:spacing w:after="140"/>
      </w:pPr>
      <w:r>
        <w:rPr>
          <w:sz w:val="24"/>
          <w:szCs w:val="24"/>
        </w:rPr>
        <w:t xml:space="preserve">Droits et valeur sont-ils estimés prudemment ?</w:t>
      </w:r>
    </w:p>
    <w:p>
      <w:pPr>
        <w:spacing w:after="140"/>
      </w:pPr>
      <w:r>
        <w:rPr>
          <w:sz w:val="24"/>
          <w:szCs w:val="24"/>
        </w:rPr>
        <w:t xml:space="preserve">Parties et contrat</w:t>
      </w:r>
    </w:p>
    <w:p>
      <w:pPr>
        <w:spacing w:after="140"/>
      </w:pPr>
      <w:r>
        <w:rPr>
          <w:sz w:val="24"/>
          <w:szCs w:val="24"/>
        </w:rPr>
        <w:t xml:space="preserve">Société, propriétaires et compte bancaire sont-ils vérifiés ?</w:t>
      </w:r>
    </w:p>
    <w:p>
      <w:pPr>
        <w:spacing w:after="140"/>
      </w:pPr>
      <w:r>
        <w:rPr>
          <w:sz w:val="24"/>
          <w:szCs w:val="24"/>
        </w:rPr>
        <w:t xml:space="preserve">Le contrat définit-il qualité, quantité, délai et recours ?</w:t>
      </w:r>
    </w:p>
    <w:p>
      <w:pPr>
        <w:spacing w:after="140"/>
      </w:pPr>
      <w:r>
        <w:rPr>
          <w:sz w:val="24"/>
          <w:szCs w:val="24"/>
        </w:rPr>
        <w:t xml:space="preserve">L’Incoterm, le lieu et la version sont-ils complets ?</w:t>
      </w:r>
    </w:p>
    <w:p>
      <w:pPr>
        <w:spacing w:after="140"/>
      </w:pPr>
      <w:r>
        <w:rPr>
          <w:sz w:val="24"/>
          <w:szCs w:val="24"/>
        </w:rPr>
        <w:t xml:space="preserve">Paiement et conformité</w:t>
      </w:r>
    </w:p>
    <w:p>
      <w:pPr>
        <w:spacing w:after="140"/>
      </w:pPr>
      <w:r>
        <w:rPr>
          <w:sz w:val="24"/>
          <w:szCs w:val="24"/>
        </w:rPr>
        <w:t xml:space="preserve">La banque accepte-t-elle la route et les documents ?</w:t>
      </w:r>
    </w:p>
    <w:p>
      <w:pPr>
        <w:spacing w:after="140"/>
      </w:pPr>
      <w:r>
        <w:rPr>
          <w:sz w:val="24"/>
          <w:szCs w:val="24"/>
        </w:rPr>
        <w:t xml:space="preserve">Sanctions, contrôles export et usage final ont-ils été vérifiés ?</w:t>
      </w:r>
    </w:p>
    <w:p>
      <w:pPr>
        <w:spacing w:after="140"/>
      </w:pPr>
      <w:r>
        <w:rPr>
          <w:sz w:val="24"/>
          <w:szCs w:val="24"/>
        </w:rPr>
        <w:t xml:space="preserve">Chaque paiement dépend-il d’une preuve ?</w:t>
      </w:r>
    </w:p>
    <w:p>
      <w:pPr>
        <w:spacing w:after="140"/>
      </w:pPr>
      <w:r>
        <w:rPr>
          <w:sz w:val="24"/>
          <w:szCs w:val="24"/>
        </w:rPr>
        <w:t xml:space="preserve">Transport et réception</w:t>
      </w:r>
    </w:p>
    <w:p>
      <w:pPr>
        <w:spacing w:after="140"/>
      </w:pPr>
      <w:r>
        <w:rPr>
          <w:sz w:val="24"/>
          <w:szCs w:val="24"/>
        </w:rPr>
        <w:t xml:space="preserve">Transporteur, assurance, itinéraire et réservation sont-ils confirmés ?</w:t>
      </w:r>
    </w:p>
    <w:p>
      <w:pPr>
        <w:spacing w:after="140"/>
      </w:pPr>
      <w:r>
        <w:rPr>
          <w:sz w:val="24"/>
          <w:szCs w:val="24"/>
        </w:rPr>
        <w:t xml:space="preserve">Le courtier a-t-il examiné le dossier avant chargement ?</w:t>
      </w:r>
    </w:p>
    <w:p>
      <w:pPr>
        <w:spacing w:after="140"/>
      </w:pPr>
      <w:r>
        <w:rPr>
          <w:sz w:val="24"/>
          <w:szCs w:val="24"/>
        </w:rPr>
        <w:t xml:space="preserve">Existe-t-il un plan pour retards, sinistres et stockage ?</w:t>
      </w:r>
    </w:p>
    <w:p>
      <w:pPr>
        <w:spacing w:after="140"/>
      </w:pPr>
      <w:r>
        <w:rPr>
          <w:sz w:val="24"/>
          <w:szCs w:val="24"/>
        </w:rPr>
        <w:t xml:space="preserve">Si la réponse à une question essentielle est « je ne sais pas », l’opération n’est pas prête. Transformez l’incertitude en tâche précise, responsable, échéance et preuve.</w:t>
      </w:r>
    </w:p>
    <w:p>
      <w:pPr>
        <w:spacing w:after="140"/>
      </w:pPr>
      <w:r>
        <w:rPr>
          <w:sz w:val="24"/>
          <w:szCs w:val="24"/>
        </w:rPr>
        <w:t xml:space="preserve">Exemple pratique simplifié</w:t>
      </w:r>
    </w:p>
    <w:p>
      <w:pPr>
        <w:spacing w:after="140"/>
      </w:pPr>
      <w:r>
        <w:rPr>
          <w:sz w:val="24"/>
          <w:szCs w:val="24"/>
        </w:rPr>
        <w:t xml:space="preserve">Une entreprise souhaite importer une machine d’emballage annoncée à 30 000 dollars. La décision ne commence pas par le prix. Il faut identifier modèle, capacité, origine et HS, puis confirmer l’admissibilité et la sécurité. Les offres doivent être comparées avec le même Incoterm et le coût rendu doit inclure fret, assurance, droits, installation, pièces et formation. L’usine est vérifiée, la machine testée avec un produit similaire et une tranche de paiement dépend de l’essai d’acceptation. Le contrat fixe capacité, taux de perte, tension, garantie, liste de pièces et sanction de retard. Avant le chargement, le commissionnaire vérifie documents et code, le transport est assuré et les numéros de série sont enregistrés en photo et vidéo. Le prix devient ainsi une décision d’investissement mesurable.</w:t>
      </w:r>
    </w:p>
    <w:p>
      <w:pPr>
        <w:spacing w:after="140"/>
      </w:pPr>
      <w:r>
        <w:rPr>
          <w:sz w:val="24"/>
          <w:szCs w:val="24"/>
        </w:rPr>
        <w:t xml:space="preserve">Comment Bsouria vous aide</w:t>
      </w:r>
    </w:p>
    <w:p>
      <w:pPr>
        <w:spacing w:after="140"/>
      </w:pPr>
      <w:r>
        <w:rPr>
          <w:sz w:val="24"/>
          <w:szCs w:val="24"/>
        </w:rPr>
        <w:t xml:space="preserve">Bsouria réunit contenus pratiques, opportunités et acteurs du marché syrien. Recherchez fournisseurs, fabricants, commissionnaires et logisticiens dans l’Annuaire des entreprises. Consultez les opportunités de commerce et de distribution, les articles et les guides consacrés aux contrats, à la vérification et à l’investissement. Une entreprise peut publier son profil et un utilisateur peut publier une opportunité d’importation ou d’exportation.</w:t>
      </w:r>
    </w:p>
    <w:p>
      <w:pPr>
        <w:spacing w:after="140"/>
      </w:pPr>
      <w:r>
        <w:rPr>
          <w:sz w:val="24"/>
          <w:szCs w:val="24"/>
        </w:rPr>
        <w:t xml:space="preserve">Bsouria ne valide pas automatiquement les entités publiées et ne remplace pas les autorités. Utilisez la plateforme pour la découverte et l’organisation de l’information, puis réalisez vos propres contrôles. Pour proposer une correction, utilisez Contact ; pour connaître la mission de la plateforme, consultez À propos de Bsouria.</w:t>
      </w:r>
    </w:p>
    <w:p>
      <w:pPr>
        <w:spacing w:after="140"/>
      </w:pPr>
      <w:r>
        <w:rPr>
          <w:sz w:val="24"/>
          <w:szCs w:val="24"/>
        </w:rPr>
        <w:t xml:space="preserve">Sources et méthode de mise à jour</w:t>
      </w:r>
    </w:p>
    <w:p>
      <w:pPr>
        <w:spacing w:after="140"/>
      </w:pPr>
      <w:r>
        <w:rPr>
          <w:sz w:val="24"/>
          <w:szCs w:val="24"/>
        </w:rPr>
        <w:t xml:space="preserve">Ce guide privilégie les sources primaires et institutionnelles : sites et décisions officielles syriens ; Organisation mondiale des douanes pour le HS ; Organisation mondiale du commerce pour la valeur en douane ; Chambre de commerce internationale pour les Incoterms ; Centre du commerce international et UN Comtrade pour les marchés ; autorités officielles américaines, européennes, britanniques et canadiennes pour les sanctions et la conformité. Les documents du Logistics Cluster ont été examinés avec l’avertissement explicite qu’ils ne définissent pas la procédure commerciale générale.</w:t>
      </w:r>
    </w:p>
    <w:p>
      <w:pPr>
        <w:spacing w:after="140"/>
      </w:pPr>
      <w:r>
        <w:rPr>
          <w:sz w:val="24"/>
          <w:szCs w:val="24"/>
        </w:rPr>
        <w:t xml:space="preserve">Une source fournit un cadre à une date donnée, mais ne répond pas automatiquement aux faits de votre expédition. Avant l’exécution, demandez à l’autorité compétente, à la banque et au commissionnaire une confirmation liée au code HS exact, au produit, à l’origine, à la valeur, à l’itinéraire et à la date d’expédition.</w:t>
      </w:r>
    </w:p>
    <w:p>
      <w:pPr>
        <w:spacing w:after="140"/>
      </w:pPr>
      <w:r>
        <w:rPr>
          <w:sz w:val="24"/>
          <w:szCs w:val="24"/>
        </w:rPr>
        <w:t xml:space="preserve">Bonnes pratiques</w:t>
      </w:r>
    </w:p>
    <w:p>
      <w:pPr>
        <w:spacing w:after="140"/>
      </w:pPr>
      <w:r>
        <w:rPr>
          <w:sz w:val="24"/>
          <w:szCs w:val="24"/>
        </w:rPr>
        <w:t xml:space="preserve">Commencer par l’admissibilité juridique, puis le marché, puis le prix.</w:t>
      </w:r>
    </w:p>
    <w:p>
      <w:pPr>
        <w:spacing w:after="140"/>
      </w:pPr>
      <w:r>
        <w:rPr>
          <w:sz w:val="24"/>
          <w:szCs w:val="24"/>
        </w:rPr>
        <w:t xml:space="preserve">Transformer chaque promesse en clause, document et critère d’acceptation.</w:t>
      </w:r>
    </w:p>
    <w:p>
      <w:pPr>
        <w:spacing w:after="140"/>
      </w:pPr>
      <w:r>
        <w:rPr>
          <w:sz w:val="24"/>
          <w:szCs w:val="24"/>
        </w:rPr>
        <w:t xml:space="preserve">Confirmer HS, origine et Incoterm avant la signature.</w:t>
      </w:r>
    </w:p>
    <w:p>
      <w:pPr>
        <w:spacing w:after="140"/>
      </w:pPr>
      <w:r>
        <w:rPr>
          <w:sz w:val="24"/>
          <w:szCs w:val="24"/>
        </w:rPr>
        <w:t xml:space="preserve">Séparer vérification du partenaire, inspection du produit et contrôle documentaire.</w:t>
      </w:r>
    </w:p>
    <w:p>
      <w:pPr>
        <w:spacing w:after="140"/>
      </w:pPr>
      <w:r>
        <w:rPr>
          <w:sz w:val="24"/>
          <w:szCs w:val="24"/>
        </w:rPr>
        <w:t xml:space="preserve">Utiliser des paiements par étapes plutôt que la confiance personnelle seule.</w:t>
      </w:r>
    </w:p>
    <w:p>
      <w:pPr>
        <w:spacing w:after="140"/>
      </w:pPr>
      <w:r>
        <w:rPr>
          <w:sz w:val="24"/>
          <w:szCs w:val="24"/>
        </w:rPr>
        <w:t xml:space="preserve">Associer tôt commissionnaire, banque et transporteur.</w:t>
      </w:r>
    </w:p>
    <w:p>
      <w:pPr>
        <w:spacing w:after="140"/>
      </w:pPr>
      <w:r>
        <w:rPr>
          <w:sz w:val="24"/>
          <w:szCs w:val="24"/>
        </w:rPr>
        <w:t xml:space="preserve">Conserver une copie datée des décisions et autorisations utilisées.</w:t>
      </w:r>
    </w:p>
    <w:p>
      <w:pPr>
        <w:spacing w:after="140"/>
      </w:pPr>
      <w:r>
        <w:rPr>
          <w:sz w:val="24"/>
          <w:szCs w:val="24"/>
        </w:rPr>
        <w:t xml:space="preserve">Refaire le contrôle des restrictions et sanctions à chaque expédition.</w:t>
      </w:r>
    </w:p>
    <w:p>
      <w:pPr>
        <w:spacing w:after="140"/>
      </w:pPr>
      <w:r>
        <w:rPr>
          <w:sz w:val="24"/>
          <w:szCs w:val="24"/>
        </w:rPr>
        <w:t xml:space="preserve">Effectuer une expédition test avant de changer d’échelle lorsque possible.</w:t>
      </w:r>
    </w:p>
    <w:p>
      <w:pPr>
        <w:spacing w:after="140"/>
      </w:pPr>
      <w:r>
        <w:rPr>
          <w:sz w:val="24"/>
          <w:szCs w:val="24"/>
        </w:rPr>
        <w:t xml:space="preserve">Analyser l’opération terminée et mettre à jour coûts, fournisseurs et risques.</w:t>
      </w:r>
    </w:p>
    <w:p>
      <w:pPr>
        <w:spacing w:after="140"/>
      </w:pPr>
      <w:r>
        <w:rPr>
          <w:sz w:val="24"/>
          <w:szCs w:val="24"/>
        </w:rPr>
        <w:t xml:space="preserve">Résumé</w:t>
      </w:r>
    </w:p>
    <w:p>
      <w:pPr>
        <w:spacing w:after="140"/>
      </w:pPr>
      <w:r>
        <w:rPr>
          <w:sz w:val="24"/>
          <w:szCs w:val="24"/>
        </w:rPr>
        <w:t xml:space="preserve">L’import-export relève autant de la gestion de l’information et des risques que de l’achat et de la vente. Une opération solide combine produit clairement défini, code HS défendable, marché testé, contrepartie vérifiée, coût rendu réaliste, contrat précis, paiement contrôlé, documents cohérents, transport assuré et dédouanement préparé. Aucune liste unique ne convient à tous les produits, mais la méthode demeure : vérifier avant de s’engager, documenter avant de payer et inspecter avant d’accepter.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Importer et exporter vers et depuis la Syrie en 2026 : procédures, documents et douane</dc:title>
  <dc:creator>Bsouria Editorial Team</dc:creator>
  <cp:lastModifiedBy>Bsouria</cp:lastModifiedBy>
  <dcterms:created xsi:type="dcterms:W3CDTF">2026-07-31T02:20:20Z</dcterms:created>
</cp:coreProperties>
</file>