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Financer un projet en Syrie en 2026 : capital, dette et contrôle</w:t>
      </w:r>
    </w:p>
    <w:p>
      <w:pPr/>
      <w:r>
        <w:rPr>
          <w:i/>
          <w:color w:val="64736B"/>
        </w:rPr>
        <w:t>Bsouria Editorial · 2026-07-26</w:t>
      </w:r>
    </w:p>
    <w:p>
      <w:pPr>
        <w:spacing w:after="220"/>
      </w:pPr>
      <w:r>
        <w:rPr>
          <w:i/>
        </w:rPr>
        <w:t>Guide pratique sur le besoin de cash, capital ou dette, valorisation, term sheet, due diligence, conformité et gouvernance.</w:t>
      </w:r>
    </w:p>
    <w:p>
      <w:pPr>
        <w:spacing w:after="140"/>
      </w:pPr>
      <w:r>
        <w:rPr>
          <w:sz w:val="24"/>
          <w:szCs w:val="24"/>
        </w:rPr>
        <w:t xml:space="preserve">Un projet ne s’arrête pas toujours parce qu’il n’est pas rentable. Il peut manquer de trésorerie avant l’encaissement, financer un actif long avec une dette courte ou recevoir de l’argent du fondateur sans savoir s’il s’agit de capital ou d’un prêt. Ce guide explique comment structurer un financement adapté au cycle réel d’un projet lié à la Syrie.</w:t>
      </w:r>
    </w:p>
    <w:p>
      <w:pPr>
        <w:spacing w:after="140"/>
      </w:pPr>
      <w:r>
        <w:rPr>
          <w:sz w:val="24"/>
          <w:szCs w:val="24"/>
        </w:rPr>
        <w:t xml:space="preserve">Avertissement : contenu éducatif général, non conseil en investissement ou bancaire. Vérifiez le droit, les sanctions, la conformité bancaire et l’origine des fonds avant transfert ou émission de titres.</w:t>
      </w:r>
    </w:p>
    <w:p>
      <w:pPr>
        <w:spacing w:after="140"/>
      </w:pPr>
      <w:r>
        <w:rPr>
          <w:sz w:val="24"/>
          <w:szCs w:val="24"/>
        </w:rPr>
        <w:t xml:space="preserve">Commencer par le cycle de trésorerie</w:t>
      </w:r>
    </w:p>
    <w:p>
      <w:pPr>
        <w:spacing w:after="140"/>
      </w:pPr>
      <w:r>
        <w:rPr>
          <w:sz w:val="24"/>
          <w:szCs w:val="24"/>
        </w:rPr>
        <w:t xml:space="preserve">La première question n’est pas « combien voulons-nous ? », mais « quand payons-nous et quand encaissons-nous ? ». Une opération rentable peut immobiliser du cash pendant des mois si le stock est payé aujourd’hui et le client quatre-vingt-dix jours après la livraison.</w:t>
      </w:r>
    </w:p>
    <w:p>
      <w:pPr>
        <w:spacing w:after="140"/>
      </w:pPr>
      <w:r>
        <w:rPr>
          <w:sz w:val="24"/>
          <w:szCs w:val="24"/>
        </w:rPr>
        <w:t xml:space="preserve">Tracez acompte fournisseur, production, transport, douane, stockage, livraison, facture et encaissement. Calculez le plus grand besoin mensuel et ajoutez une réserve pour retard, interruption et variation de prix.</w:t>
      </w:r>
    </w:p>
    <w:p>
      <w:pPr>
        <w:spacing w:after="140"/>
      </w:pPr>
      <w:r>
        <w:rPr>
          <w:sz w:val="24"/>
          <w:szCs w:val="24"/>
        </w:rPr>
        <w:t xml:space="preserve">IndicateurCalcul simpleCe qu’il révèleDélai clientCréances moyennes ÷ ventes à crédit × joursDurée pendant laquelle le client garde votre cashDurée de stockStock moyen ÷ coût des ventes × joursDurée du cash dans le stockDélai fournisseurDettes moyennes ÷ achats × joursDurée du financement fournisseurÉcart de trésorerieDélai client + stock − fournisseurPériode à financer</w:t>
      </w:r>
    </w:p>
    <w:p>
      <w:pPr>
        <w:spacing w:after="140"/>
      </w:pPr>
      <w:r>
        <w:rPr>
          <w:sz w:val="24"/>
          <w:szCs w:val="24"/>
        </w:rPr>
        <w:t xml:space="preserve">Associer chaque source à son usage</w:t>
      </w:r>
    </w:p>
    <w:p>
      <w:pPr>
        <w:spacing w:after="140"/>
      </w:pPr>
      <w:r>
        <w:rPr>
          <w:sz w:val="24"/>
          <w:szCs w:val="24"/>
        </w:rPr>
        <w:t xml:space="preserve">Il n’existe pas de source parfaite. Un actif long demande un financement long, un stock saisonnier un financement court, et une expérimentation incertaine un capital qui accepte la perte plutôt qu’une échéance fixe.</w:t>
      </w:r>
    </w:p>
    <w:p>
      <w:pPr>
        <w:spacing w:after="140"/>
      </w:pPr>
      <w:r>
        <w:rPr>
          <w:sz w:val="24"/>
          <w:szCs w:val="24"/>
        </w:rPr>
        <w:t xml:space="preserve">SourceSouvent adaptée àCoût ou risqueCapital du fondateurLancement, test, coûts non garantisRisque concentréAssocié en capitalCroissance avec capital, compétence ou marchéDilution et contrôle partagéPrêt d’associéBesoin défini avec remboursement visibleConflit si priorité et durée sont flouesCrédit fournisseurStock récurrentPrix plus élevé ou dépendanceAcompte clientProduit personnalisé ou contrat longObligation de livrer ou rembourserCrédit bancaireCash-flow démontrable et garantieÉchéance, sûreté, conformitéFinancement sur revenusRevenus récurrents mesurablesPrélèvement qui comprime la margeFinancement de projetGrand actif ou cash contractuel indépendantContrats, sûretés et rapports complexes</w:t>
      </w:r>
    </w:p>
    <w:p>
      <w:pPr>
        <w:spacing w:after="140"/>
      </w:pPr>
      <w:r>
        <w:rPr>
          <w:sz w:val="24"/>
          <w:szCs w:val="24"/>
        </w:rPr>
        <w:t xml:space="preserve">Capital ou dette ?</w:t>
      </w:r>
    </w:p>
    <w:p>
      <w:pPr>
        <w:spacing w:after="140"/>
      </w:pPr>
      <w:r>
        <w:rPr>
          <w:sz w:val="24"/>
          <w:szCs w:val="24"/>
        </w:rPr>
        <w:t xml:space="preserve">Le capital convient lorsque le rendement est lointain ou incertain ou lorsque l’associé apporte une capacité stratégique. La dette convient lorsque la source et la date de remboursement sont identifiables et supportables dans un scénario plus faible.</w:t>
      </w:r>
    </w:p>
    <w:p>
      <w:pPr>
        <w:spacing w:after="140"/>
      </w:pPr>
      <w:r>
        <w:rPr>
          <w:sz w:val="24"/>
          <w:szCs w:val="24"/>
        </w:rPr>
        <w:t xml:space="preserve">Financer un actif qui produit sur plusieurs années par une dette courte crée un décalage dangereux. Vendre une part importante pour financer un stock récupérable en quelques mois peut être inutilement coûteux.</w:t>
      </w:r>
    </w:p>
    <w:p>
      <w:pPr>
        <w:spacing w:after="140"/>
      </w:pPr>
      <w:r>
        <w:rPr>
          <w:sz w:val="24"/>
          <w:szCs w:val="24"/>
        </w:rPr>
        <w:t xml:space="preserve">Test de résistance : si les ventes baissent de 25 % et l’encaissement est retardé de deux mois, pouvez-vous encore payer salaires et dette ?</w:t>
      </w:r>
    </w:p>
    <w:p>
      <w:pPr>
        <w:spacing w:after="140"/>
      </w:pPr>
      <w:r>
        <w:rPr>
          <w:sz w:val="24"/>
          <w:szCs w:val="24"/>
        </w:rPr>
        <w:t xml:space="preserve">La valorisation n’est pas un multiple isolé</w:t>
      </w:r>
    </w:p>
    <w:p>
      <w:pPr>
        <w:spacing w:after="140"/>
      </w:pPr>
      <w:r>
        <w:rPr>
          <w:sz w:val="24"/>
          <w:szCs w:val="24"/>
        </w:rPr>
        <w:t xml:space="preserve">Pour une PME privée, « cinq fois le bénéfice » ne suffit pas. Normalisez le résultat en retirant dépenses personnelles et produits exceptionnels, puis analysez besoin en fonds de roulement, comptes d’associés, concentration clients, transfert des contrats, qualité des comptes et dépendance à une personne.</w:t>
      </w:r>
    </w:p>
    <w:p>
      <w:pPr>
        <w:spacing w:after="140"/>
      </w:pPr>
      <w:r>
        <w:rPr>
          <w:sz w:val="24"/>
          <w:szCs w:val="24"/>
        </w:rPr>
        <w:t xml:space="preserve">Utilisez actifs nets, capacité de cash futur et comparables fiables. Expliquez le poids attribué à chaque méthode.</w:t>
      </w:r>
    </w:p>
    <w:p>
      <w:pPr>
        <w:spacing w:after="140"/>
      </w:pPr>
      <w:r>
        <w:rPr>
          <w:sz w:val="24"/>
          <w:szCs w:val="24"/>
        </w:rPr>
        <w:t xml:space="preserve">La lettre d’intention doit traiter économie et pouvoir</w:t>
      </w:r>
    </w:p>
    <w:p>
      <w:pPr>
        <w:spacing w:after="140"/>
      </w:pPr>
      <w:r>
        <w:rPr>
          <w:sz w:val="24"/>
          <w:szCs w:val="24"/>
        </w:rPr>
        <w:t xml:space="preserve">Elle doit couvrir instrument, valorisation avant et après investissement, calendrier, conditions de réalisation, emploi des fonds, conseil, décisions réservées, priorité de liquidation, anti-dilution, information et sortie.</w:t>
      </w:r>
    </w:p>
    <w:p>
      <w:pPr>
        <w:spacing w:after="140"/>
      </w:pPr>
      <w:r>
        <w:rPr>
          <w:sz w:val="24"/>
          <w:szCs w:val="24"/>
        </w:rPr>
        <w:t xml:space="preserve">Montant, devise et tranches.</w:t>
      </w:r>
    </w:p>
    <w:p>
      <w:pPr>
        <w:spacing w:after="140"/>
      </w:pPr>
      <w:r>
        <w:rPr>
          <w:sz w:val="24"/>
          <w:szCs w:val="24"/>
        </w:rPr>
        <w:t xml:space="preserve">Capital, prêt d’associé, convertible ou autre structure.</w:t>
      </w:r>
    </w:p>
    <w:p>
      <w:pPr>
        <w:spacing w:after="140"/>
      </w:pPr>
      <w:r>
        <w:rPr>
          <w:sz w:val="24"/>
          <w:szCs w:val="24"/>
        </w:rPr>
        <w:t xml:space="preserve">Conditions avant transfert.</w:t>
      </w:r>
    </w:p>
    <w:p>
      <w:pPr>
        <w:spacing w:after="140"/>
      </w:pPr>
      <w:r>
        <w:rPr>
          <w:sz w:val="24"/>
          <w:szCs w:val="24"/>
        </w:rPr>
        <w:t xml:space="preserve">Approbation du budget, de la dette et des ventes d’actifs.</w:t>
      </w:r>
    </w:p>
    <w:p>
      <w:pPr>
        <w:spacing w:after="140"/>
      </w:pPr>
      <w:r>
        <w:rPr>
          <w:sz w:val="24"/>
          <w:szCs w:val="24"/>
        </w:rPr>
        <w:t xml:space="preserve">Tour futur à prix inférieur.</w:t>
      </w:r>
    </w:p>
    <w:p>
      <w:pPr>
        <w:spacing w:after="140"/>
      </w:pPr>
      <w:r>
        <w:rPr>
          <w:sz w:val="24"/>
          <w:szCs w:val="24"/>
        </w:rPr>
        <w:t xml:space="preserve">Objectifs non atteints.</w:t>
      </w:r>
    </w:p>
    <w:p>
      <w:pPr>
        <w:spacing w:after="140"/>
      </w:pPr>
      <w:r>
        <w:rPr>
          <w:sz w:val="24"/>
          <w:szCs w:val="24"/>
        </w:rPr>
        <w:t xml:space="preserve">Priorité à la vente ou liquidation.</w:t>
      </w:r>
    </w:p>
    <w:p>
      <w:pPr>
        <w:spacing w:after="140"/>
      </w:pPr>
      <w:r>
        <w:rPr>
          <w:sz w:val="24"/>
          <w:szCs w:val="24"/>
        </w:rPr>
        <w:t xml:space="preserve">Cession, sortie conjointe et entraînement.</w:t>
      </w:r>
    </w:p>
    <w:p>
      <w:pPr>
        <w:spacing w:after="140"/>
      </w:pPr>
      <w:r>
        <w:rPr>
          <w:sz w:val="24"/>
          <w:szCs w:val="24"/>
        </w:rPr>
        <w:t xml:space="preserve">Un modèle financier défendable</w:t>
      </w:r>
    </w:p>
    <w:p>
      <w:pPr>
        <w:spacing w:after="140"/>
      </w:pPr>
      <w:r>
        <w:rPr>
          <w:sz w:val="24"/>
          <w:szCs w:val="24"/>
        </w:rPr>
        <w:t xml:space="preserve">Séparez nombre de clients, prix, remise, ventes, encaissement, coûts fixes et variables. N’utilisez pas une croissance mensuelle constante sans raison opérationnelle.</w:t>
      </w:r>
    </w:p>
    <w:p>
      <w:pPr>
        <w:spacing w:after="140"/>
      </w:pPr>
      <w:r>
        <w:rPr>
          <w:sz w:val="24"/>
          <w:szCs w:val="24"/>
        </w:rPr>
        <w:t xml:space="preserve">Construisez scénarios central, faible et stress. Testez retard fournisseur, baisse des ventes, hausse des intrants et perte d’un canal de paiement. Montrez le mois où le cash s’épuise.</w:t>
      </w:r>
    </w:p>
    <w:p>
      <w:pPr>
        <w:spacing w:after="140"/>
      </w:pPr>
      <w:r>
        <w:rPr>
          <w:sz w:val="24"/>
          <w:szCs w:val="24"/>
        </w:rPr>
        <w:t xml:space="preserve">Registre daté des hypothèses et sources.</w:t>
      </w:r>
    </w:p>
    <w:p>
      <w:pPr>
        <w:spacing w:after="140"/>
      </w:pPr>
      <w:r>
        <w:rPr>
          <w:sz w:val="24"/>
          <w:szCs w:val="24"/>
        </w:rPr>
        <w:t xml:space="preserve">Cash-flow mensuel sur 18–24 mois.</w:t>
      </w:r>
    </w:p>
    <w:p>
      <w:pPr>
        <w:spacing w:after="140"/>
      </w:pPr>
      <w:r>
        <w:rPr>
          <w:sz w:val="24"/>
          <w:szCs w:val="24"/>
        </w:rPr>
        <w:t xml:space="preserve">Budget d’emploi des fonds par tranche.</w:t>
      </w:r>
    </w:p>
    <w:p>
      <w:pPr>
        <w:spacing w:after="140"/>
      </w:pPr>
      <w:r>
        <w:rPr>
          <w:sz w:val="24"/>
          <w:szCs w:val="24"/>
        </w:rPr>
        <w:t xml:space="preserve">Seuil de rentabilité en unités ou clients.</w:t>
      </w:r>
    </w:p>
    <w:p>
      <w:pPr>
        <w:spacing w:after="140"/>
      </w:pPr>
      <w:r>
        <w:rPr>
          <w:sz w:val="24"/>
          <w:szCs w:val="24"/>
        </w:rPr>
        <w:t xml:space="preserve">Sensibilité au prix, volume, encaissement et devise.</w:t>
      </w:r>
    </w:p>
    <w:p>
      <w:pPr>
        <w:spacing w:after="140"/>
      </w:pPr>
      <w:r>
        <w:rPr>
          <w:sz w:val="24"/>
          <w:szCs w:val="24"/>
        </w:rPr>
        <w:t xml:space="preserve">Plancher minimal de trésorerie.</w:t>
      </w:r>
    </w:p>
    <w:p>
      <w:pPr>
        <w:spacing w:after="140"/>
      </w:pPr>
      <w:r>
        <w:rPr>
          <w:sz w:val="24"/>
          <w:szCs w:val="24"/>
        </w:rPr>
        <w:t xml:space="preserve">Ce qu’un financeur discipliné vérifiera</w:t>
      </w:r>
    </w:p>
    <w:p>
      <w:pPr>
        <w:spacing w:after="140"/>
      </w:pPr>
      <w:r>
        <w:rPr>
          <w:sz w:val="24"/>
          <w:szCs w:val="24"/>
        </w:rPr>
        <w:t xml:space="preserve">Existence juridique, bénéficiaire effectif, pouvoir de signature, licences, fiscalité, contrats, banque, clients, fournisseurs, dettes, litiges, propriété intellectuelle, salariés et parties liées.</w:t>
      </w:r>
    </w:p>
    <w:p>
      <w:pPr>
        <w:spacing w:after="140"/>
      </w:pPr>
      <w:r>
        <w:rPr>
          <w:sz w:val="24"/>
          <w:szCs w:val="24"/>
        </w:rPr>
        <w:t xml:space="preserve">Préparez une data room indexée et reliez chaque affirmation à une preuve. Un contrat de trois ans doit être lu pour ses clauses de résiliation et paiement ; une marge de 30 % doit être traçable aux factures.</w:t>
      </w:r>
    </w:p>
    <w:p>
      <w:pPr>
        <w:spacing w:after="140"/>
      </w:pPr>
      <w:r>
        <w:rPr>
          <w:sz w:val="24"/>
          <w:szCs w:val="24"/>
        </w:rPr>
        <w:t xml:space="preserve">Utilisez le Guide de vérification de Bsouria.</w:t>
      </w:r>
    </w:p>
    <w:p>
      <w:pPr>
        <w:spacing w:after="140"/>
      </w:pPr>
      <w:r>
        <w:rPr>
          <w:sz w:val="24"/>
          <w:szCs w:val="24"/>
        </w:rPr>
        <w:t xml:space="preserve">Financement transfrontalier : la conformité fait partie de l’opération</w:t>
      </w:r>
    </w:p>
    <w:p>
      <w:pPr>
        <w:spacing w:after="140"/>
      </w:pPr>
      <w:r>
        <w:rPr>
          <w:sz w:val="24"/>
          <w:szCs w:val="24"/>
        </w:rPr>
        <w:t xml:space="preserve">Un investisseur volontaire ne suffit pas. Banque, canal, objet, bénéficiaire effectif et pièces doivent respecter les règles appliquées par les parties, pays et institutions financières.</w:t>
      </w:r>
    </w:p>
    <w:p>
      <w:pPr>
        <w:spacing w:after="140"/>
      </w:pPr>
      <w:r>
        <w:rPr>
          <w:sz w:val="24"/>
          <w:szCs w:val="24"/>
        </w:rPr>
        <w:t xml:space="preserve">Le cadre international lié à la Syrie a fortement évolué, mais l’allègement ne signifie pas permission universelle. Des restrictions peuvent rester attachées à des personnes, entités, produits, banques ou zones. Vérifiez les listes officielles actuelles et consultez les banques avant la signature.</w:t>
      </w:r>
    </w:p>
    <w:p>
      <w:pPr>
        <w:spacing w:after="140"/>
      </w:pPr>
      <w:r>
        <w:rPr>
          <w:sz w:val="24"/>
          <w:szCs w:val="24"/>
        </w:rPr>
        <w:t xml:space="preserve">L’argent nouveau doit améliorer la gouvernance</w:t>
      </w:r>
    </w:p>
    <w:p>
      <w:pPr>
        <w:spacing w:after="140"/>
      </w:pPr>
      <w:r>
        <w:rPr>
          <w:sz w:val="24"/>
          <w:szCs w:val="24"/>
        </w:rPr>
        <w:t xml:space="preserve">Convenez d’un rapport mensuel court : cash, encaissement, stock, ventes, marge, dettes, prévision et écart budgétaire. Les chiffres doivent se rapprocher et les décisions nécessaires être visibles.</w:t>
      </w:r>
    </w:p>
    <w:p>
      <w:pPr>
        <w:spacing w:after="140"/>
      </w:pPr>
      <w:r>
        <w:rPr>
          <w:sz w:val="24"/>
          <w:szCs w:val="24"/>
        </w:rPr>
        <w:t xml:space="preserve">Séparez conseil et gestion quotidienne. La protection de l’investisseur ne signifie pas approuver chaque facture ; l’autonomie du fondateur ne signifie pas dépenser hors budget sans information.</w:t>
      </w:r>
    </w:p>
    <w:p>
      <w:pPr>
        <w:spacing w:after="140"/>
      </w:pPr>
      <w:r>
        <w:rPr>
          <w:sz w:val="24"/>
          <w:szCs w:val="24"/>
        </w:rPr>
        <w:t xml:space="preserve">Plan de financement en six étapes</w:t>
      </w:r>
    </w:p>
    <w:p>
      <w:pPr>
        <w:spacing w:after="140"/>
      </w:pPr>
      <w:r>
        <w:rPr>
          <w:sz w:val="24"/>
          <w:szCs w:val="24"/>
        </w:rPr>
        <w:t xml:space="preserve">Cartographier le cycle de cash et le besoin mensuel maximal.</w:t>
      </w:r>
    </w:p>
    <w:p>
      <w:pPr>
        <w:spacing w:after="140"/>
      </w:pPr>
      <w:r>
        <w:rPr>
          <w:sz w:val="24"/>
          <w:szCs w:val="24"/>
        </w:rPr>
        <w:t xml:space="preserve">Séparer actifs longs, fonds de roulement et expérimentation risquée.</w:t>
      </w:r>
    </w:p>
    <w:p>
      <w:pPr>
        <w:spacing w:after="140"/>
      </w:pPr>
      <w:r>
        <w:rPr>
          <w:sz w:val="24"/>
          <w:szCs w:val="24"/>
        </w:rPr>
        <w:t xml:space="preserve">Choisir un instrument adapté à chaque usage.</w:t>
      </w:r>
    </w:p>
    <w:p>
      <w:pPr>
        <w:spacing w:after="140"/>
      </w:pPr>
      <w:r>
        <w:rPr>
          <w:sz w:val="24"/>
          <w:szCs w:val="24"/>
        </w:rPr>
        <w:t xml:space="preserve">Tester le stress et définir une dette supportable.</w:t>
      </w:r>
    </w:p>
    <w:p>
      <w:pPr>
        <w:spacing w:after="140"/>
      </w:pPr>
      <w:r>
        <w:rPr>
          <w:sz w:val="24"/>
          <w:szCs w:val="24"/>
        </w:rPr>
        <w:t xml:space="preserve">Préparer data room et term sheet concise.</w:t>
      </w:r>
    </w:p>
    <w:p>
      <w:pPr>
        <w:spacing w:after="140"/>
      </w:pPr>
      <w:r>
        <w:rPr>
          <w:sz w:val="24"/>
          <w:szCs w:val="24"/>
        </w:rPr>
        <w:t xml:space="preserve">Lier les tranches aux étapes et rapports.</w:t>
      </w:r>
    </w:p>
    <w:p>
      <w:pPr>
        <w:spacing w:after="140"/>
      </w:pPr>
      <w:r>
        <w:rPr>
          <w:sz w:val="24"/>
          <w:szCs w:val="24"/>
        </w:rPr>
        <w:t xml:space="preserve">Publiez une opportunité de financement claire ou consultez les opportunités d’investissement. Indiquez montant, emploi, étapes, structure et risques.</w:t>
      </w:r>
    </w:p>
    <w:p>
      <w:pPr>
        <w:spacing w:after="140"/>
      </w:pPr>
      <w:r>
        <w:rPr>
          <w:sz w:val="24"/>
          <w:szCs w:val="24"/>
        </w:rPr>
        <w:t xml:space="preserve">Trois exemples de financement</w:t>
      </w:r>
    </w:p>
    <w:p>
      <w:pPr>
        <w:spacing w:after="140"/>
      </w:pPr>
      <w:r>
        <w:rPr>
          <w:sz w:val="24"/>
          <w:szCs w:val="24"/>
        </w:rPr>
        <w:t xml:space="preserve">Importateur saisonnier</w:t>
      </w:r>
    </w:p>
    <w:p>
      <w:pPr>
        <w:spacing w:after="140"/>
      </w:pPr>
      <w:r>
        <w:rPr>
          <w:sz w:val="24"/>
          <w:szCs w:val="24"/>
        </w:rPr>
        <w:t xml:space="preserve">Si le stock dure quatre mois, l’encaissement deux et le fournisseur accorde un mois, l’écart approche cinq mois. Une ligne de fonds de roulement, un crédit fournisseur ou un acompte client peut être préférable à la vente permanente de parts chaque saison. Liez les tirages aux commandes et au stock traçable.</w:t>
      </w:r>
    </w:p>
    <w:p>
      <w:pPr>
        <w:spacing w:after="140"/>
      </w:pPr>
      <w:r>
        <w:rPr>
          <w:sz w:val="24"/>
          <w:szCs w:val="24"/>
        </w:rPr>
        <w:t xml:space="preserve">Société de services numériques</w:t>
      </w:r>
    </w:p>
    <w:p>
      <w:pPr>
        <w:spacing w:after="140"/>
      </w:pPr>
      <w:r>
        <w:rPr>
          <w:sz w:val="24"/>
          <w:szCs w:val="24"/>
        </w:rPr>
        <w:t xml:space="preserve">Peu de stock, mais la paie précède l’encaissement. Acomptes, contrats mensuels et facturation par étape réduisent le besoin. Si la croissance exige des recrutements avant les ventes, un peu de capital ou un prêt fondateur long peut être plus sûr qu’une dette courte immédiatement amortissable.</w:t>
      </w:r>
    </w:p>
    <w:p>
      <w:pPr>
        <w:spacing w:after="140"/>
      </w:pPr>
      <w:r>
        <w:rPr>
          <w:sz w:val="24"/>
          <w:szCs w:val="24"/>
        </w:rPr>
        <w:t xml:space="preserve">Ligne de production</w:t>
      </w:r>
    </w:p>
    <w:p>
      <w:pPr>
        <w:spacing w:after="140"/>
      </w:pPr>
      <w:r>
        <w:rPr>
          <w:sz w:val="24"/>
          <w:szCs w:val="24"/>
        </w:rPr>
        <w:t xml:space="preserve">Terrain, bâtiment et machine sont longs ; matières premières relèvent du fonds de roulement. Ne les mettez pas dans une seule facilité courte. Financez l’actif plus longtemps et le stock séparément. Liez les paiements de machine à inspection, installation et réception, avec réserve de démarrage et pièces.</w:t>
      </w:r>
    </w:p>
    <w:p>
      <w:pPr>
        <w:spacing w:after="140"/>
      </w:pPr>
      <w:r>
        <w:rPr>
          <w:sz w:val="24"/>
          <w:szCs w:val="24"/>
        </w:rPr>
        <w:t xml:space="preserve">Covenants financiers sans piège</w:t>
      </w:r>
    </w:p>
    <w:p>
      <w:pPr>
        <w:spacing w:after="140"/>
      </w:pPr>
      <w:r>
        <w:rPr>
          <w:sz w:val="24"/>
          <w:szCs w:val="24"/>
        </w:rPr>
        <w:t xml:space="preserve">Le prêteur peut imposer dette maximale, cash minimal, restriction de dividendes ou rapports mensuels. N’acceptez pas un ratio impossible à mesurer. Définissez dette, prêts d’associés, résultat opérationnel et délai de correction.</w:t>
      </w:r>
    </w:p>
    <w:p>
      <w:pPr>
        <w:spacing w:after="140"/>
      </w:pPr>
      <w:r>
        <w:rPr>
          <w:sz w:val="24"/>
          <w:szCs w:val="24"/>
        </w:rPr>
        <w:t xml:space="preserve">Un bon covenant est une alerte, pas un piège. Négociez une marge réaliste et un délai afin qu’un petit manquement technique n’accélère pas toute la dette. En échange, informez tôt.</w:t>
      </w:r>
    </w:p>
    <w:p>
      <w:pPr>
        <w:spacing w:after="140"/>
      </w:pPr>
      <w:r>
        <w:rPr>
          <w:sz w:val="24"/>
          <w:szCs w:val="24"/>
        </w:rPr>
        <w:t xml:space="preserve">Liste de clôture avant transfert</w:t>
      </w:r>
    </w:p>
    <w:p>
      <w:pPr>
        <w:spacing w:after="140"/>
      </w:pPr>
      <w:r>
        <w:rPr>
          <w:sz w:val="24"/>
          <w:szCs w:val="24"/>
        </w:rPr>
        <w:t xml:space="preserve">Contrat final signé et annexes.</w:t>
      </w:r>
    </w:p>
    <w:p>
      <w:pPr>
        <w:spacing w:after="140"/>
      </w:pPr>
      <w:r>
        <w:rPr>
          <w:sz w:val="24"/>
          <w:szCs w:val="24"/>
        </w:rPr>
        <w:t xml:space="preserve">Approbations sociales correctes.</w:t>
      </w:r>
    </w:p>
    <w:p>
      <w:pPr>
        <w:spacing w:after="140"/>
      </w:pPr>
      <w:r>
        <w:rPr>
          <w:sz w:val="24"/>
          <w:szCs w:val="24"/>
        </w:rPr>
        <w:t xml:space="preserve">Registres d’associés et bénéficiaires mis à jour si nécessaire.</w:t>
      </w:r>
    </w:p>
    <w:p>
      <w:pPr>
        <w:spacing w:after="140"/>
      </w:pPr>
      <w:r>
        <w:rPr>
          <w:sz w:val="24"/>
          <w:szCs w:val="24"/>
        </w:rPr>
        <w:t xml:space="preserve">Compte au bon nom et instructions confirmées indépendamment.</w:t>
      </w:r>
    </w:p>
    <w:p>
      <w:pPr>
        <w:spacing w:after="140"/>
      </w:pPr>
      <w:r>
        <w:rPr>
          <w:sz w:val="24"/>
          <w:szCs w:val="24"/>
        </w:rPr>
        <w:t xml:space="preserve">Conditions préalables : licences, contrats, sûretés, assurance.</w:t>
      </w:r>
    </w:p>
    <w:p>
      <w:pPr>
        <w:spacing w:after="140"/>
      </w:pPr>
      <w:r>
        <w:rPr>
          <w:sz w:val="24"/>
          <w:szCs w:val="24"/>
        </w:rPr>
        <w:t xml:space="preserve">Budget des fonds et responsable de chaque tranche.</w:t>
      </w:r>
    </w:p>
    <w:p>
      <w:pPr>
        <w:spacing w:after="140"/>
      </w:pPr>
      <w:r>
        <w:rPr>
          <w:sz w:val="24"/>
          <w:szCs w:val="24"/>
        </w:rPr>
        <w:t xml:space="preserve">Date du premier rapport et de la réunion de suivi.</w:t>
      </w:r>
    </w:p>
    <w:p>
      <w:pPr>
        <w:spacing w:after="140"/>
      </w:pPr>
      <w:r>
        <w:rPr>
          <w:sz w:val="24"/>
          <w:szCs w:val="24"/>
        </w:rPr>
        <w:t xml:space="preserve">Traitement des fonds non utilisés ou étape non atteinte.</w:t>
      </w:r>
    </w:p>
    <w:p>
      <w:pPr>
        <w:spacing w:after="140"/>
      </w:pPr>
      <w:r>
        <w:rPr>
          <w:sz w:val="24"/>
          <w:szCs w:val="24"/>
        </w:rPr>
        <w:t xml:space="preserve">Ne transférez jamais sur la seule base d’instructions bancaires venant d’une nouvelle adresse. Confirmez par un canal indépendant, surtout en cas de changement proche de la clôture.</w:t>
      </w:r>
    </w:p>
    <w:p>
      <w:pPr>
        <w:spacing w:after="140"/>
      </w:pPr>
      <w:r>
        <w:rPr>
          <w:sz w:val="24"/>
          <w:szCs w:val="24"/>
        </w:rPr>
        <w:t xml:space="preserve">Présentation investisseur et négociation</w:t>
      </w:r>
    </w:p>
    <w:p>
      <w:pPr>
        <w:spacing w:after="140"/>
      </w:pPr>
      <w:r>
        <w:rPr>
          <w:sz w:val="24"/>
          <w:szCs w:val="24"/>
        </w:rPr>
        <w:t xml:space="preserve">Une bonne présentation ne commence pas par un marché mondial pour sauter à la valorisation. Commencez par un problème, un client et la preuve qu’il paie. Montrez économie unitaire, cycle de cash, résultats réels et ce que l’argent permettra. Chaque chiffre important doit renvoyer à un tableau, contrat ou facture de la data room.</w:t>
      </w:r>
    </w:p>
    <w:p>
      <w:pPr>
        <w:spacing w:after="140"/>
      </w:pPr>
      <w:r>
        <w:rPr>
          <w:sz w:val="24"/>
          <w:szCs w:val="24"/>
        </w:rPr>
        <w:t xml:space="preserve">Séparez négociation en prix, contrôle et protection. Le fondateur peut accepter une valorisation inférieure pour moins de contrôle ; l’investisseur peut accepter moins de parts contre information et protections. Négociez l’ensemble selon son effet sur le prochain tour et la capacité de gérer.</w:t>
      </w:r>
    </w:p>
    <w:p>
      <w:pPr>
        <w:spacing w:after="140"/>
      </w:pPr>
      <w:r>
        <w:rPr>
          <w:sz w:val="24"/>
          <w:szCs w:val="24"/>
        </w:rPr>
        <w:t xml:space="preserve">Suivez les versions et ne dépendez pas de « nous sommes d’accord en principe ». Après chaque réunion, envoyez points convenus, questions ouvertes, responsable et date du prochain document. Cela empêche deux mémoires différentes de la même opération.</w:t>
      </w:r>
    </w:p>
    <w:p>
      <w:pPr>
        <w:spacing w:after="140"/>
      </w:pPr>
      <w:r>
        <w:rPr>
          <w:sz w:val="24"/>
          <w:szCs w:val="24"/>
        </w:rPr>
        <w:t xml:space="preserve">Signaux d’alerte</w:t>
      </w:r>
    </w:p>
    <w:p>
      <w:pPr>
        <w:spacing w:after="140"/>
      </w:pPr>
      <w:r>
        <w:rPr>
          <w:sz w:val="24"/>
          <w:szCs w:val="24"/>
        </w:rPr>
        <w:t xml:space="preserve">Valorisation élevée sans comptes ni contrats.</w:t>
      </w:r>
    </w:p>
    <w:p>
      <w:pPr>
        <w:spacing w:after="140"/>
      </w:pPr>
      <w:r>
        <w:rPr>
          <w:sz w:val="24"/>
          <w:szCs w:val="24"/>
        </w:rPr>
        <w:t xml:space="preserve">Transfert urgent avant vérification du bénéficiaire.</w:t>
      </w:r>
    </w:p>
    <w:p>
      <w:pPr>
        <w:spacing w:after="140"/>
      </w:pPr>
      <w:r>
        <w:rPr>
          <w:sz w:val="24"/>
          <w:szCs w:val="24"/>
        </w:rPr>
        <w:t xml:space="preserve">Mélange des comptes de la société et du fondateur.</w:t>
      </w:r>
    </w:p>
    <w:p>
      <w:pPr>
        <w:spacing w:after="140"/>
      </w:pPr>
      <w:r>
        <w:rPr>
          <w:sz w:val="24"/>
          <w:szCs w:val="24"/>
        </w:rPr>
        <w:t xml:space="preserve">Revenus élevés mais encaissement faible.</w:t>
      </w:r>
    </w:p>
    <w:p>
      <w:pPr>
        <w:spacing w:after="140"/>
      </w:pPr>
      <w:r>
        <w:rPr>
          <w:sz w:val="24"/>
          <w:szCs w:val="24"/>
        </w:rPr>
        <w:t xml:space="preserve">Client dominant sans contrat solide.</w:t>
      </w:r>
    </w:p>
    <w:p>
      <w:pPr>
        <w:spacing w:after="140"/>
      </w:pPr>
      <w:r>
        <w:rPr>
          <w:sz w:val="24"/>
          <w:szCs w:val="24"/>
        </w:rPr>
        <w:t xml:space="preserve">Dettes hors bilan ou engagements latéraux.</w:t>
      </w:r>
    </w:p>
    <w:p>
      <w:pPr>
        <w:spacing w:after="140"/>
      </w:pPr>
      <w:r>
        <w:rPr>
          <w:sz w:val="24"/>
          <w:szCs w:val="24"/>
        </w:rPr>
        <w:t xml:space="preserve">Croissance constante sans capacité ni canal.</w:t>
      </w:r>
    </w:p>
    <w:p>
      <w:pPr>
        <w:spacing w:after="140"/>
      </w:pPr>
      <w:r>
        <w:rPr>
          <w:sz w:val="24"/>
          <w:szCs w:val="24"/>
        </w:rPr>
        <w:t xml:space="preserve">Refus de documents et d’examen indépendant.</w:t>
      </w:r>
    </w:p>
    <w:p>
      <w:pPr>
        <w:spacing w:after="140"/>
      </w:pPr>
      <w:r>
        <w:rPr>
          <w:sz w:val="24"/>
          <w:szCs w:val="24"/>
        </w:rPr>
        <w:t xml:space="preserve">Dette dans une devise différente des revenus sans couverture.</w:t>
      </w:r>
    </w:p>
    <w:p>
      <w:pPr>
        <w:spacing w:after="140"/>
      </w:pPr>
      <w:r>
        <w:rPr>
          <w:sz w:val="24"/>
          <w:szCs w:val="24"/>
        </w:rPr>
        <w:t xml:space="preserve">Conditions de contrôle disproportionnées ou bloquant un futur financement.</w:t>
      </w:r>
    </w:p>
    <w:p>
      <w:pPr>
        <w:spacing w:after="140"/>
      </w:pPr>
      <w:r>
        <w:rPr>
          <w:sz w:val="24"/>
          <w:szCs w:val="24"/>
        </w:rPr>
        <w:t xml:space="preserve">Sources de référence</w:t>
      </w:r>
    </w:p>
    <w:p>
      <w:pPr>
        <w:spacing w:after="140"/>
      </w:pPr>
      <w:r>
        <w:rPr>
          <w:sz w:val="24"/>
          <w:szCs w:val="24"/>
        </w:rPr>
        <w:t xml:space="preserve">Banque mondiale – aperçu actuel de la Syrie</w:t>
      </w:r>
    </w:p>
    <w:p>
      <w:pPr>
        <w:spacing w:after="140"/>
      </w:pPr>
      <w:r>
        <w:rPr>
          <w:sz w:val="24"/>
          <w:szCs w:val="24"/>
        </w:rPr>
        <w:t xml:space="preserve">Évaluation macro-budgétaire Syrie 2025</w:t>
      </w:r>
    </w:p>
    <w:p>
      <w:pPr>
        <w:spacing w:after="140"/>
      </w:pPr>
      <w:r>
        <w:rPr>
          <w:sz w:val="24"/>
          <w:szCs w:val="24"/>
        </w:rPr>
        <w:t xml:space="preserve">Agence syrienne de l’investissement</w:t>
      </w:r>
    </w:p>
    <w:p>
      <w:pPr>
        <w:spacing w:after="140"/>
      </w:pPr>
      <w:r>
        <w:rPr>
          <w:sz w:val="24"/>
          <w:szCs w:val="24"/>
        </w:rPr>
        <w:t xml:space="preserve">UNCTAD – politique d’investissement</w:t>
      </w:r>
    </w:p>
    <w:p>
      <w:pPr>
        <w:spacing w:after="140"/>
      </w:pPr>
      <w:r>
        <w:rPr>
          <w:sz w:val="24"/>
          <w:szCs w:val="24"/>
        </w:rPr>
        <w:t xml:space="preserve">UNCTAD – accords d’investissement</w:t>
      </w:r>
    </w:p>
    <w:p>
      <w:pPr>
        <w:spacing w:after="140"/>
      </w:pPr>
      <w:r>
        <w:rPr>
          <w:sz w:val="24"/>
          <w:szCs w:val="24"/>
        </w:rPr>
        <w:t xml:space="preserve">IFC – gouvernance d’entreprise</w:t>
      </w:r>
    </w:p>
    <w:p>
      <w:pPr>
        <w:spacing w:after="140"/>
      </w:pPr>
      <w:r>
        <w:rPr>
          <w:sz w:val="24"/>
          <w:szCs w:val="24"/>
        </w:rPr>
        <w:t xml:space="preserve">OCDE – due diligence responsable</w:t>
      </w:r>
    </w:p>
    <w:p>
      <w:pPr>
        <w:spacing w:after="140"/>
      </w:pPr>
      <w:r>
        <w:rPr>
          <w:sz w:val="24"/>
          <w:szCs w:val="24"/>
        </w:rPr>
        <w:t xml:space="preserve">FATF – bénéficiaires effectifs</w:t>
      </w:r>
    </w:p>
    <w:p>
      <w:pPr>
        <w:spacing w:after="140"/>
      </w:pPr>
      <w:r>
        <w:rPr>
          <w:sz w:val="24"/>
          <w:szCs w:val="24"/>
        </w:rPr>
        <w:t xml:space="preserve">Questions fréquentes</w:t>
      </w:r>
    </w:p>
    <w:p>
      <w:pPr>
        <w:spacing w:after="140"/>
      </w:pPr>
      <w:r>
        <w:rPr>
          <w:sz w:val="24"/>
          <w:szCs w:val="24"/>
        </w:rPr>
        <w:t xml:space="preserve">Réponses éducatives. Consultez avocat, comptable et banque avant transfert, émission de parts ou dette.</w:t>
      </w:r>
    </w:p>
    <w:p>
      <w:pPr>
        <w:spacing w:after="140"/>
      </w:pPr>
      <w:r>
        <w:rPr>
          <w:sz w:val="24"/>
          <w:szCs w:val="24"/>
        </w:rPr>
        <w:t xml:space="preserve">Conclusion</w:t>
      </w:r>
    </w:p>
    <w:p>
      <w:pPr>
        <w:spacing w:after="140"/>
      </w:pPr>
      <w:r>
        <w:rPr>
          <w:sz w:val="24"/>
          <w:szCs w:val="24"/>
        </w:rPr>
        <w:t xml:space="preserve">Le bon financement n’est pas le plus gros chèque. C’est l’argent qui arrive au bon moment, correspond au cycle et à la durée de l’actif et porte des conditions exécutables. Commencez par l’écart de cash, choisissez la durée, normalisez les chiffres, testez le stress, écrivez les conditions et préparez la due diligence.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Financer un projet en Syrie en 2026 : capital, dette et contrôle</dc:title>
  <dc:creator>Bsouria Editorial</dc:creator>
  <cp:lastModifiedBy>Bsouria</cp:lastModifiedBy>
  <dcterms:created xsi:type="dcterms:W3CDTF">2026-07-31T02:22:02Z</dcterms:created>
</cp:coreProperties>
</file>