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L’économie syrienne en 2026 : comprendre la croissance, l’inflation, la monnaie, l’investissement et la reconstruction</w:t>
      </w:r>
    </w:p>
    <w:p>
      <w:pPr/>
      <w:r>
        <w:rPr>
          <w:i/>
          <w:color w:val="64736B"/>
        </w:rPr>
        <w:t>Bsouria Editorial · 2026-07-26</w:t>
      </w:r>
    </w:p>
    <w:p>
      <w:pPr>
        <w:spacing w:after="220"/>
      </w:pPr>
      <w:r>
        <w:rPr>
          <w:i/>
        </w:rPr>
        <w:t>Un guide analytique pratique pour lire l’économie syrienne au-delà des titres : production, prix, monnaie, finances publiques, banques, secteurs, emploi, investissement et scénarios de reprise.</w:t>
      </w:r>
    </w:p>
    <w:p>
      <w:pPr>
        <w:spacing w:after="140"/>
      </w:pPr>
      <w:r>
        <w:rPr>
          <w:sz w:val="24"/>
          <w:szCs w:val="24"/>
        </w:rPr>
        <w:t xml:space="preserve">En 2026, l’économie syrienne ne se résume ni à « la reprise a commencé » ni à « la crise continue ». Les deux phrases peuvent être vraies : l’activité progresse dans certains secteurs et territoires, tandis que le pouvoir d’achat, les services, le financement et l’emploi restent très inférieurs aux besoins. Ce guide propose une méthode pratique pour lire les données, les réformes et les opportunités sans vendre un optimisme facile ni exagérer les risques.</w:t>
      </w:r>
    </w:p>
    <w:p>
      <w:pPr>
        <w:spacing w:after="140"/>
      </w:pPr>
      <w:r>
        <w:rPr>
          <w:sz w:val="24"/>
          <w:szCs w:val="24"/>
        </w:rPr>
        <w:t xml:space="preserve">Note méthodologique : les statistiques syriennes restent rares, tardives et inégales. Nous indiquons la date des sources, utilisons des fourchettes lorsque les estimations divergent et ne présentons aucune prévision comme une garantie.</w:t>
      </w:r>
    </w:p>
    <w:p>
      <w:pPr>
        <w:spacing w:after="140"/>
      </w:pPr>
      <w:r>
        <w:rPr>
          <w:sz w:val="24"/>
          <w:szCs w:val="24"/>
        </w:rPr>
        <w:t xml:space="preserve">1. Le point de départ : une économie beaucoup plus petite qu’avant 2011</w:t>
      </w:r>
    </w:p>
    <w:p>
      <w:pPr>
        <w:spacing w:after="140"/>
      </w:pPr>
      <w:r>
        <w:rPr>
          <w:sz w:val="24"/>
          <w:szCs w:val="24"/>
        </w:rPr>
        <w:t xml:space="preserve">L’évaluation macro-budgétaire 2025 de la Banque mondiale estime que le PIB s’est contracté de plus de moitié depuis 2010 et que le revenu national brut par habitant atteignait environ 830 dollars en 2024. L’extrême pauvreté touchait environ un Syrien sur quatre et les deux tiers vivaient sous le seuil de pauvreté des pays à revenu intermédiaire inférieur.</w:t>
      </w:r>
    </w:p>
    <w:p>
      <w:pPr>
        <w:spacing w:after="140"/>
      </w:pPr>
      <w:r>
        <w:rPr>
          <w:sz w:val="24"/>
          <w:szCs w:val="24"/>
        </w:rPr>
        <w:t xml:space="preserve">Une croissance de 3 ou 4 % sur une année peut donc être positive sans effacer quatorze années de pertes. Une économie partant d’une base faible peut afficher un taux élevé tout en restant très loin de ses anciennes capacités.</w:t>
      </w:r>
    </w:p>
    <w:p>
      <w:pPr>
        <w:spacing w:after="140"/>
      </w:pPr>
      <w:r>
        <w:rPr>
          <w:sz w:val="24"/>
          <w:szCs w:val="24"/>
        </w:rPr>
        <w:t xml:space="preserve">2. Pourquoi les estimations de croissance diffèrent-elles ?</w:t>
      </w:r>
    </w:p>
    <w:p>
      <w:pPr>
        <w:spacing w:after="140"/>
      </w:pPr>
      <w:r>
        <w:rPr>
          <w:sz w:val="24"/>
          <w:szCs w:val="24"/>
        </w:rPr>
        <w:t xml:space="preserve">En juillet 2025, la Banque mondiale prévoyait environ 1 % de croissance. Sa page pays actualisée indique ensuite que des indicateurs à haute fréquence suggéraient une croissance réelle de 2 à 4 %. Le premier chiffre était une prévision précoce ; le second, une estimation plus récente intégrant trafic portuaire et aérien, électricité et immatriculations.</w:t>
      </w:r>
    </w:p>
    <w:p>
      <w:pPr>
        <w:spacing w:after="140"/>
      </w:pPr>
      <w:r>
        <w:rPr>
          <w:sz w:val="24"/>
          <w:szCs w:val="24"/>
        </w:rPr>
        <w:t xml:space="preserve">Lorsque les statistiques formelles manquent, les analystes utilisent consommation électrique, fret, ports, créations d’entreprises, prix, récoltes, congestion, transferts, vols, images satellites et données mobiles. Demandez toujours si le chiffre est une prévision, une estimation provisoire ou un résultat final.</w:t>
      </w:r>
    </w:p>
    <w:p>
      <w:pPr>
        <w:spacing w:after="140"/>
      </w:pPr>
      <w:r>
        <w:rPr>
          <w:sz w:val="24"/>
          <w:szCs w:val="24"/>
        </w:rPr>
        <w:t xml:space="preserve">IndicateurCe qu’il mesureCe qu’il peut cacherPIBValeur de la production intérieureRépartition du revenu et informelInflationVariation moyenne d’un panierDifférences entre ménages et villesTaux de changeValeur sur un marché donnéLiquidité, frais et disponibilitéImmatriculationsCréation formelleSurvie et taille de l’activitéTrafic portuaire/aérienConnexion et mouvementValeur du commerce et valeur locale</w:t>
      </w:r>
    </w:p>
    <w:p>
      <w:pPr>
        <w:spacing w:after="140"/>
      </w:pPr>
      <w:r>
        <w:rPr>
          <w:sz w:val="24"/>
          <w:szCs w:val="24"/>
        </w:rPr>
        <w:t xml:space="preserve">3. Croissance, reprise et développement ne sont pas synonymes</w:t>
      </w:r>
    </w:p>
    <w:p>
      <w:pPr>
        <w:spacing w:after="140"/>
      </w:pPr>
      <w:r>
        <w:rPr>
          <w:sz w:val="24"/>
          <w:szCs w:val="24"/>
        </w:rPr>
        <w:t xml:space="preserve">La croissance signifie que la production augmente. La reprise récupère une partie des pertes. Le développement rend l’amélioration plus large, productive et durable dans la santé, l’éducation, les institutions, les revenus et l’emploi.</w:t>
      </w:r>
    </w:p>
    <w:p>
      <w:pPr>
        <w:spacing w:after="140"/>
      </w:pPr>
      <w:r>
        <w:rPr>
          <w:sz w:val="24"/>
          <w:szCs w:val="24"/>
        </w:rPr>
        <w:t xml:space="preserve">Le PNUD avertissait en février 2025 qu’avec une croissance faible, la Syrie pourrait ne pas retrouver son PIB d’avant-conflit avant 2080. Ramener ce délai à dix ans suppose une accélération forte et durable, pas une seule bonne année.</w:t>
      </w:r>
    </w:p>
    <w:p>
      <w:pPr>
        <w:spacing w:after="140"/>
      </w:pPr>
      <w:r>
        <w:rPr>
          <w:sz w:val="24"/>
          <w:szCs w:val="24"/>
        </w:rPr>
        <w:t xml:space="preserve">4. Pourquoi les prix restent-ils élevés quand l’inflation baisse ?</w:t>
      </w:r>
    </w:p>
    <w:p>
      <w:pPr>
        <w:spacing w:after="140"/>
      </w:pPr>
      <w:r>
        <w:rPr>
          <w:sz w:val="24"/>
          <w:szCs w:val="24"/>
        </w:rPr>
        <w:t xml:space="preserve">La Banque mondiale estime l’inflation 2025 autour de 11,5 %, après un taux beaucoup plus élevé en 2024. Le FMI a parlé d’un ralentissement vers le bas de la zone à deux chiffres fin 2025. Une inflation plus faible signifie des hausses plus lentes, pas un retour aux anciens prix.</w:t>
      </w:r>
    </w:p>
    <w:p>
      <w:pPr>
        <w:spacing w:after="140"/>
      </w:pPr>
      <w:r>
        <w:rPr>
          <w:sz w:val="24"/>
          <w:szCs w:val="24"/>
        </w:rPr>
        <w:t xml:space="preserve">Un produit passé de 100 à 170 peut atteindre 180 plutôt que 240. Le soulagement réel vient lorsque les revenus rattrapent les prix, que les produits sont disponibles et que la volatilité diminue.</w:t>
      </w:r>
    </w:p>
    <w:p>
      <w:pPr>
        <w:spacing w:after="140"/>
      </w:pPr>
      <w:r>
        <w:rPr>
          <w:sz w:val="24"/>
          <w:szCs w:val="24"/>
        </w:rPr>
        <w:t xml:space="preserve">Suivez alimentation, logement et énergie en part du revenu.</w:t>
      </w:r>
    </w:p>
    <w:p>
      <w:pPr>
        <w:spacing w:after="140"/>
      </w:pPr>
      <w:r>
        <w:rPr>
          <w:sz w:val="24"/>
          <w:szCs w:val="24"/>
        </w:rPr>
        <w:t xml:space="preserve">Mesurez le nombre de jours de stock finançables.</w:t>
      </w:r>
    </w:p>
    <w:p>
      <w:pPr>
        <w:spacing w:after="140"/>
      </w:pPr>
      <w:r>
        <w:rPr>
          <w:sz w:val="24"/>
          <w:szCs w:val="24"/>
        </w:rPr>
        <w:t xml:space="preserve">Notez le délai entre coût fournisseur et nouveau prix.</w:t>
      </w:r>
    </w:p>
    <w:p>
      <w:pPr>
        <w:spacing w:after="140"/>
      </w:pPr>
      <w:r>
        <w:rPr>
          <w:sz w:val="24"/>
          <w:szCs w:val="24"/>
        </w:rPr>
        <w:t xml:space="preserve">Contrôlez la durée de validité des devis.</w:t>
      </w:r>
    </w:p>
    <w:p>
      <w:pPr>
        <w:spacing w:after="140"/>
      </w:pPr>
      <w:r>
        <w:rPr>
          <w:sz w:val="24"/>
          <w:szCs w:val="24"/>
        </w:rPr>
        <w:t xml:space="preserve">Comparez la hausse des salaires à celle des prix.</w:t>
      </w:r>
    </w:p>
    <w:p>
      <w:pPr>
        <w:spacing w:after="140"/>
      </w:pPr>
      <w:r>
        <w:rPr>
          <w:sz w:val="24"/>
          <w:szCs w:val="24"/>
        </w:rPr>
        <w:t xml:space="preserve">5. La livre syrienne : lire le cours avec le marché</w:t>
      </w:r>
    </w:p>
    <w:p>
      <w:pPr>
        <w:spacing w:after="140"/>
      </w:pPr>
      <w:r>
        <w:rPr>
          <w:sz w:val="24"/>
          <w:szCs w:val="24"/>
        </w:rPr>
        <w:t xml:space="preserve">Le FMI a noté une appréciation par rapport à 2024, associée à une politique monétaire stricte et à l’absence de financement monétaire du budget. Le cours dépend aussi des transferts, de la confiance, des importations, de la disponibilité du numéraire, des flux et des anticipations.</w:t>
      </w:r>
    </w:p>
    <w:p>
      <w:pPr>
        <w:spacing w:after="140"/>
      </w:pPr>
      <w:r>
        <w:rPr>
          <w:sz w:val="24"/>
          <w:szCs w:val="24"/>
        </w:rPr>
        <w:t xml:space="preserve">Pour une entreprise, le taux réellement exécutable, les frais, le délai de règlement et le risque entre ordre et finalisation comptent plus qu’un chiffre affiché. Voir le guide banques et paiements.</w:t>
      </w:r>
    </w:p>
    <w:p>
      <w:pPr>
        <w:spacing w:after="140"/>
      </w:pPr>
      <w:r>
        <w:rPr>
          <w:sz w:val="24"/>
          <w:szCs w:val="24"/>
        </w:rPr>
        <w:t xml:space="preserve">Règle pratique : ne construisez pas le budget annuel sur un seul taux. Utilisez un scénario central et un scénario de stress, et précisez contractuellement qui supporte l’écart de change.</w:t>
      </w:r>
    </w:p>
    <w:p>
      <w:pPr>
        <w:spacing w:after="140"/>
      </w:pPr>
      <w:r>
        <w:rPr>
          <w:sz w:val="24"/>
          <w:szCs w:val="24"/>
        </w:rPr>
        <w:t xml:space="preserve">6. Finances publiques : dépenser sans relancer l’inflation</w:t>
      </w:r>
    </w:p>
    <w:p>
      <w:pPr>
        <w:spacing w:after="140"/>
      </w:pPr>
      <w:r>
        <w:rPr>
          <w:sz w:val="24"/>
          <w:szCs w:val="24"/>
        </w:rPr>
        <w:t xml:space="preserve">Le FMI a indiqué un petit excédent budgétaire central en 2025 et l’absence de financement du déficit par la banque centrale. C’est important car la création monétaire sans production correspondante peut amplifier l’inflation.</w:t>
      </w:r>
    </w:p>
    <w:p>
      <w:pPr>
        <w:spacing w:after="140"/>
      </w:pPr>
      <w:r>
        <w:rPr>
          <w:sz w:val="24"/>
          <w:szCs w:val="24"/>
        </w:rPr>
        <w:t xml:space="preserve">La marge budgétaire reste pourtant très étroite. Un projet 2026 de la Banque mondiale rappelle que les recettes publiques sont passées de près de 20 % du PIB avant le conflit à moins de 5 %. Il faut donc améliorer salaires, santé, éducation et infrastructures tout en renforçant recettes, transparence et contrôle.</w:t>
      </w:r>
    </w:p>
    <w:p>
      <w:pPr>
        <w:spacing w:after="140"/>
      </w:pPr>
      <w:r>
        <w:rPr>
          <w:sz w:val="24"/>
          <w:szCs w:val="24"/>
        </w:rPr>
        <w:t xml:space="preserve">Pour bâtir un coût, consultez le guide impôts et redevances.</w:t>
      </w:r>
    </w:p>
    <w:p>
      <w:pPr>
        <w:spacing w:after="140"/>
      </w:pPr>
      <w:r>
        <w:rPr>
          <w:sz w:val="24"/>
          <w:szCs w:val="24"/>
        </w:rPr>
        <w:t xml:space="preserve">7. Banques et crédit : la reprise exige une véritable intermédiation</w:t>
      </w:r>
    </w:p>
    <w:p>
      <w:pPr>
        <w:spacing w:after="140"/>
      </w:pPr>
      <w:r>
        <w:rPr>
          <w:sz w:val="24"/>
          <w:szCs w:val="24"/>
        </w:rPr>
        <w:t xml:space="preserve">Une banque ne conserve pas seulement l’argent : elle transforme l’épargne en crédit, règle les paiements et évalue le risque. Le FMI appelle à examiner la santé financière des banques, restructurer le secteur, renforcer la supervision et rétablir la confiance.</w:t>
      </w:r>
    </w:p>
    <w:p>
      <w:pPr>
        <w:spacing w:after="140"/>
      </w:pPr>
      <w:r>
        <w:rPr>
          <w:sz w:val="24"/>
          <w:szCs w:val="24"/>
        </w:rPr>
        <w:t xml:space="preserve">De meilleurs paiements ne créent pas automatiquement du crédit. Il faut des comptes vérifiables, des garanties adaptées, de l’information de crédit et des contrats applicables.</w:t>
      </w:r>
    </w:p>
    <w:p>
      <w:pPr>
        <w:spacing w:after="140"/>
      </w:pPr>
      <w:r>
        <w:rPr>
          <w:sz w:val="24"/>
          <w:szCs w:val="24"/>
        </w:rPr>
        <w:t xml:space="preserve">8. Électricité et énergie : le coût présent dans chaque facture</w:t>
      </w:r>
    </w:p>
    <w:p>
      <w:pPr>
        <w:spacing w:after="140"/>
      </w:pPr>
      <w:r>
        <w:rPr>
          <w:sz w:val="24"/>
          <w:szCs w:val="24"/>
        </w:rPr>
        <w:t xml:space="preserve">L’amélioration de l’électricité figure parmi les facteurs associés à la reprise par le FMI et la Banque mondiale. Elle réduit carburant de générateur, arrêts, pertes et maintenance, et améliore communication, froid, eau et santé.</w:t>
      </w:r>
    </w:p>
    <w:p>
      <w:pPr>
        <w:spacing w:after="140"/>
      </w:pPr>
      <w:r>
        <w:rPr>
          <w:sz w:val="24"/>
          <w:szCs w:val="24"/>
        </w:rPr>
        <w:t xml:space="preserve">Une étude de projet doit noter heures de réseau, coût de secours, énergie par unité, pertes d’arrêt et capacité de stockage.</w:t>
      </w:r>
    </w:p>
    <w:p>
      <w:pPr>
        <w:spacing w:after="140"/>
      </w:pPr>
      <w:r>
        <w:rPr>
          <w:sz w:val="24"/>
          <w:szCs w:val="24"/>
        </w:rPr>
        <w:t xml:space="preserve">9. Agriculture et alimentation : la pluie ne suffit pas</w:t>
      </w:r>
    </w:p>
    <w:p>
      <w:pPr>
        <w:spacing w:after="140"/>
      </w:pPr>
      <w:r>
        <w:rPr>
          <w:sz w:val="24"/>
          <w:szCs w:val="24"/>
        </w:rPr>
        <w:t xml:space="preserve">La Banque mondiale mentionne de meilleures pluies en 2026 après la sécheresse 2025. Mais semences, engrais, carburant, irrigation, transport, stockage et débouchés déterminent aussi le résultat. Sans chaîne du froid, acheteur ou financement saisonnier, une meilleure récolte peut rester peu rentable.</w:t>
      </w:r>
    </w:p>
    <w:p>
      <w:pPr>
        <w:spacing w:after="140"/>
      </w:pPr>
      <w:r>
        <w:rPr>
          <w:sz w:val="24"/>
          <w:szCs w:val="24"/>
        </w:rPr>
        <w:t xml:space="preserve">Pour les marchés extérieurs, il faut qualité, emballage et normes. Voir le guide import-export.</w:t>
      </w:r>
    </w:p>
    <w:p>
      <w:pPr>
        <w:spacing w:after="140"/>
      </w:pPr>
      <w:r>
        <w:rPr>
          <w:sz w:val="24"/>
          <w:szCs w:val="24"/>
        </w:rPr>
        <w:t xml:space="preserve">10. Industrie et PME : la productivité avant les slogans</w:t>
      </w:r>
    </w:p>
    <w:p>
      <w:pPr>
        <w:spacing w:after="140"/>
      </w:pPr>
      <w:r>
        <w:rPr>
          <w:sz w:val="24"/>
          <w:szCs w:val="24"/>
        </w:rPr>
        <w:t xml:space="preserve">L’industrie crée des devises et des liens avec transport, emballage, maintenance et services. La seule protection douanière ne rend pas compétitif : il faut qualité, énergie, financement, pièces, compétences, normes et marché.</w:t>
      </w:r>
    </w:p>
    <w:p>
      <w:pPr>
        <w:spacing w:after="140"/>
      </w:pPr>
      <w:r>
        <w:rPr>
          <w:sz w:val="24"/>
          <w:szCs w:val="24"/>
        </w:rPr>
        <w:t xml:space="preserve">Une PME industrielle doit suivre production horaire, déchets, retours, arrêts, jours de stock et marge après énergie et transport.</w:t>
      </w:r>
    </w:p>
    <w:p>
      <w:pPr>
        <w:spacing w:after="140"/>
      </w:pPr>
      <w:r>
        <w:rPr>
          <w:sz w:val="24"/>
          <w:szCs w:val="24"/>
        </w:rPr>
        <w:t xml:space="preserve">11. Commerce et ouverture : opportunité et pression concurrentielle</w:t>
      </w:r>
    </w:p>
    <w:p>
      <w:pPr>
        <w:spacing w:after="140"/>
      </w:pPr>
      <w:r>
        <w:rPr>
          <w:sz w:val="24"/>
          <w:szCs w:val="24"/>
        </w:rPr>
        <w:t xml:space="preserve">La réintégration régionale et l’assouplissement des restrictions peuvent faciliter équipements, finance et marchés, tout en intensifiant la concurrence. Le ministère de l’Économie a présenté une orientation vers un marché libre régulé et une économie plus compétitive.</w:t>
      </w:r>
    </w:p>
    <w:p>
      <w:pPr>
        <w:spacing w:after="140"/>
      </w:pPr>
      <w:r>
        <w:rPr>
          <w:sz w:val="24"/>
          <w:szCs w:val="24"/>
        </w:rPr>
        <w:t xml:space="preserve">L’importateur calcule coût rendu, droits, financement, temps, conformité et service. L’exportateur construit qualité régulière, documentation et paiement sécurisé.</w:t>
      </w:r>
    </w:p>
    <w:p>
      <w:pPr>
        <w:spacing w:after="140"/>
      </w:pPr>
      <w:r>
        <w:rPr>
          <w:sz w:val="24"/>
          <w:szCs w:val="24"/>
        </w:rPr>
        <w:t xml:space="preserve">12. Emploi et revenu : la mesure que les gens ressentent</w:t>
      </w:r>
    </w:p>
    <w:p>
      <w:pPr>
        <w:spacing w:after="140"/>
      </w:pPr>
      <w:r>
        <w:rPr>
          <w:sz w:val="24"/>
          <w:szCs w:val="24"/>
        </w:rPr>
        <w:t xml:space="preserve">Le PIB peut progresser grâce à un grand projet ou au pétrole sans créer rapidement assez d’emplois. Une étude de l’OIT publiée en mai 2026 a constaté que plus de 80 % des 5 335 personnes revenues interrogées étaient sans emploi au moment de l’enquête.</w:t>
      </w:r>
    </w:p>
    <w:p>
      <w:pPr>
        <w:spacing w:after="140"/>
      </w:pPr>
      <w:r>
        <w:rPr>
          <w:sz w:val="24"/>
          <w:szCs w:val="24"/>
        </w:rPr>
        <w:t xml:space="preserve">La reprise inclusive demande emplois dans construction, industrie, agriculture et services, formation alignée sur la demande et reconnaissance des compétences acquises à l’étranger. Voir le guide de l’emploi.</w:t>
      </w:r>
    </w:p>
    <w:p>
      <w:pPr>
        <w:spacing w:after="140"/>
      </w:pPr>
      <w:r>
        <w:rPr>
          <w:sz w:val="24"/>
          <w:szCs w:val="24"/>
        </w:rPr>
        <w:t xml:space="preserve">13. Reconstruction : l’ordre des priorités compte autant que le total</w:t>
      </w:r>
    </w:p>
    <w:p>
      <w:pPr>
        <w:spacing w:after="140"/>
      </w:pPr>
      <w:r>
        <w:rPr>
          <w:sz w:val="24"/>
          <w:szCs w:val="24"/>
        </w:rPr>
        <w:t xml:space="preserve">La Banque mondiale a estimé les coûts à environ 216 milliards de dollars en octobre 2025 et près d’un tiers du capital physique d’avant-conflit endommagé. Ce chiffre montre l’ampleur du besoin, pas un calendrier immédiat ni la rentabilité de chaque projet.</w:t>
      </w:r>
    </w:p>
    <w:p>
      <w:pPr>
        <w:spacing w:after="140"/>
      </w:pPr>
      <w:r>
        <w:rPr>
          <w:sz w:val="24"/>
          <w:szCs w:val="24"/>
        </w:rPr>
        <w:t xml:space="preserve">Électricité, eau, transport, logement utilisable, écoles, hôpitaux et communication ouvrent d’autres activités. Chaque projet doit examiner coût complet, partage des risques, maintenance et engagements éventuels de l’État.</w:t>
      </w:r>
    </w:p>
    <w:p>
      <w:pPr>
        <w:spacing w:after="140"/>
      </w:pPr>
      <w:r>
        <w:rPr>
          <w:sz w:val="24"/>
          <w:szCs w:val="24"/>
        </w:rPr>
        <w:t xml:space="preserve">14. Investissement : une annonce n’est pas une clôture financière</w:t>
      </w:r>
    </w:p>
    <w:p>
      <w:pPr>
        <w:spacing w:after="140"/>
      </w:pPr>
      <w:r>
        <w:rPr>
          <w:sz w:val="24"/>
          <w:szCs w:val="24"/>
        </w:rPr>
        <w:t xml:space="preserve">Un projet annoncé traduit un intérêt. Un investissement réel exige études, financement, autorisations, contrats et exécution. L’investisseur a besoin de clarté sur propriété, transferts, fiscalité, douanes, litiges, énergie et sortie.</w:t>
      </w:r>
    </w:p>
    <w:p>
      <w:pPr>
        <w:spacing w:after="140"/>
      </w:pPr>
      <w:r>
        <w:rPr>
          <w:sz w:val="24"/>
          <w:szCs w:val="24"/>
        </w:rPr>
        <w:t xml:space="preserve">Commencez par les guides de création d’entreprise et de financement de projet, puis réalisez une diligence indépendante.</w:t>
      </w:r>
    </w:p>
    <w:p>
      <w:pPr>
        <w:spacing w:after="140"/>
      </w:pPr>
      <w:r>
        <w:rPr>
          <w:sz w:val="24"/>
          <w:szCs w:val="24"/>
        </w:rPr>
        <w:t xml:space="preserve">15. Il n’existe pas un seul marché syrien opérationnel</w:t>
      </w:r>
    </w:p>
    <w:p>
      <w:pPr>
        <w:spacing w:after="140"/>
      </w:pPr>
      <w:r>
        <w:rPr>
          <w:sz w:val="24"/>
          <w:szCs w:val="24"/>
        </w:rPr>
        <w:t xml:space="preserve">Électricité, transport, prix, travail, immobilier et demande varient selon gouvernorat et ville. N’appliquez pas une moyenne nationale à un projet local. Étudiez zone de service, approvisionnement, mouvements de population, retours, concurrence et pouvoir d’achat.</w:t>
      </w:r>
    </w:p>
    <w:p>
      <w:pPr>
        <w:spacing w:after="140"/>
      </w:pPr>
      <w:r>
        <w:rPr>
          <w:sz w:val="24"/>
          <w:szCs w:val="24"/>
        </w:rPr>
        <w:t xml:space="preserve">L’annuaire des entreprises et les opportunités aident à construire une vue locale.</w:t>
      </w:r>
    </w:p>
    <w:p>
      <w:pPr>
        <w:spacing w:after="140"/>
      </w:pPr>
      <w:r>
        <w:rPr>
          <w:sz w:val="24"/>
          <w:szCs w:val="24"/>
        </w:rPr>
        <w:t xml:space="preserve">16. Un tableau mensuel plutôt que les rumeurs</w:t>
      </w:r>
    </w:p>
    <w:p>
      <w:pPr>
        <w:spacing w:after="140"/>
      </w:pPr>
      <w:r>
        <w:rPr>
          <w:sz w:val="24"/>
          <w:szCs w:val="24"/>
        </w:rPr>
        <w:t xml:space="preserve">DomaineIndicateurQuestionPrixVotre panier d’intrantsLa marge s’améliore-t-elle après révision ?MonnaieTaux exécutable et fraisQuel coût du délai ou de la couverture ?ÉnergieHeures réseau et secoursQuel coût énergétique par unité ?DemandeCommandes et panier moyenVolume réel ou simple inflation ?EncaissementJours clientsLes ventes deviennent-elles du cash ?TravailRotation, absence, productivitéLe manque de compétences bloque-t-il ?CommerceTransport et douaneLe stock absorbe-t-il le retard ?</w:t>
      </w:r>
    </w:p>
    <w:p>
      <w:pPr>
        <w:spacing w:after="140"/>
      </w:pPr>
      <w:r>
        <w:rPr>
          <w:sz w:val="24"/>
          <w:szCs w:val="24"/>
        </w:rPr>
        <w:t xml:space="preserve">17. Trois scénarios au lieu d’une seule prévision</w:t>
      </w:r>
    </w:p>
    <w:p>
      <w:pPr>
        <w:spacing w:after="140"/>
      </w:pPr>
      <w:r>
        <w:rPr>
          <w:sz w:val="24"/>
          <w:szCs w:val="24"/>
        </w:rPr>
        <w:t xml:space="preserve">ScénarioMoteursRéponseAmélioration ordonnéeStabilité, énergie, finance et commerceInvestir progressivement dans capacité et personnelReprise inégaleCertains secteurs croissent, revenus et services restent faiblesCibler des zones et protéger la liquiditéNouveau chocTension régionale, énergie, finance ou commerce plus faiblesRéduire charges fixes et diversifier fournisseurs</w:t>
      </w:r>
    </w:p>
    <w:p>
      <w:pPr>
        <w:spacing w:after="140"/>
      </w:pPr>
      <w:r>
        <w:rPr>
          <w:sz w:val="24"/>
          <w:szCs w:val="24"/>
        </w:rPr>
        <w:t xml:space="preserve">Définissez des seuils : à quel taux de change, coût énergétique ou recul des ventes arrêtez-vous l’expansion ? Combien de liquidité faut-il ?</w:t>
      </w:r>
    </w:p>
    <w:p>
      <w:pPr>
        <w:spacing w:after="140"/>
      </w:pPr>
      <w:r>
        <w:rPr>
          <w:sz w:val="24"/>
          <w:szCs w:val="24"/>
        </w:rPr>
        <w:t xml:space="preserve">18. Comment utiliser cette analyse ?</w:t>
      </w:r>
    </w:p>
    <w:p>
      <w:pPr>
        <w:spacing w:after="140"/>
      </w:pPr>
      <w:r>
        <w:rPr>
          <w:sz w:val="24"/>
          <w:szCs w:val="24"/>
        </w:rPr>
        <w:t xml:space="preserve">Ménage : suivre le revenu réel et acquérir une compétence demandée.</w:t>
      </w:r>
    </w:p>
    <w:p>
      <w:pPr>
        <w:spacing w:after="140"/>
      </w:pPr>
      <w:r>
        <w:rPr>
          <w:sz w:val="24"/>
          <w:szCs w:val="24"/>
        </w:rPr>
        <w:t xml:space="preserve">Entreprise : séparer croissance du volume et hausse des prix, suivre le cash.</w:t>
      </w:r>
    </w:p>
    <w:p>
      <w:pPr>
        <w:spacing w:after="140"/>
      </w:pPr>
      <w:r>
        <w:rPr>
          <w:sz w:val="24"/>
          <w:szCs w:val="24"/>
        </w:rPr>
        <w:t xml:space="preserve">Importateur : tester demande, coût rendu et risque de change.</w:t>
      </w:r>
    </w:p>
    <w:p>
      <w:pPr>
        <w:spacing w:after="140"/>
      </w:pPr>
      <w:r>
        <w:rPr>
          <w:sz w:val="24"/>
          <w:szCs w:val="24"/>
        </w:rPr>
        <w:t xml:space="preserve">Exportateur : construire qualité, documents et paiement sûr.</w:t>
      </w:r>
    </w:p>
    <w:p>
      <w:pPr>
        <w:spacing w:after="140"/>
      </w:pPr>
      <w:r>
        <w:rPr>
          <w:sz w:val="24"/>
          <w:szCs w:val="24"/>
        </w:rPr>
        <w:t xml:space="preserve">Investisseur : commencer par diligence et scénarios.</w:t>
      </w:r>
    </w:p>
    <w:p>
      <w:pPr>
        <w:spacing w:after="140"/>
      </w:pPr>
      <w:r>
        <w:rPr>
          <w:sz w:val="24"/>
          <w:szCs w:val="24"/>
        </w:rPr>
        <w:t xml:space="preserve">Décideur : publier des données comparables pour créer la confiance.</w:t>
      </w:r>
    </w:p>
    <w:p>
      <w:pPr>
        <w:spacing w:after="140"/>
      </w:pPr>
      <w:r>
        <w:rPr>
          <w:sz w:val="24"/>
          <w:szCs w:val="24"/>
        </w:rPr>
        <w:t xml:space="preserve">19. Sources</w:t>
      </w:r>
    </w:p>
    <w:p>
      <w:pPr>
        <w:spacing w:after="140"/>
      </w:pPr>
      <w:r>
        <w:rPr>
          <w:sz w:val="24"/>
          <w:szCs w:val="24"/>
        </w:rPr>
        <w:t xml:space="preserve">Mission FMI, février 2026</w:t>
      </w:r>
    </w:p>
    <w:p>
      <w:pPr>
        <w:spacing w:after="140"/>
      </w:pPr>
      <w:r>
        <w:rPr>
          <w:sz w:val="24"/>
          <w:szCs w:val="24"/>
        </w:rPr>
        <w:t xml:space="preserve">Mise à jour Banque mondiale</w:t>
      </w:r>
    </w:p>
    <w:p>
      <w:pPr>
        <w:spacing w:after="140"/>
      </w:pPr>
      <w:r>
        <w:rPr>
          <w:sz w:val="24"/>
          <w:szCs w:val="24"/>
        </w:rPr>
        <w:t xml:space="preserve">Évaluation macro-budgétaire 2025</w:t>
      </w:r>
    </w:p>
    <w:p>
      <w:pPr>
        <w:spacing w:after="140"/>
      </w:pPr>
      <w:r>
        <w:rPr>
          <w:sz w:val="24"/>
          <w:szCs w:val="24"/>
        </w:rPr>
        <w:t xml:space="preserve">Estimation de reconstruction</w:t>
      </w:r>
    </w:p>
    <w:p>
      <w:pPr>
        <w:spacing w:after="140"/>
      </w:pPr>
      <w:r>
        <w:rPr>
          <w:sz w:val="24"/>
          <w:szCs w:val="24"/>
        </w:rPr>
        <w:t xml:space="preserve">Projet de finances publiques</w:t>
      </w:r>
    </w:p>
    <w:p>
      <w:pPr>
        <w:spacing w:after="140"/>
      </w:pPr>
      <w:r>
        <w:rPr>
          <w:sz w:val="24"/>
          <w:szCs w:val="24"/>
        </w:rPr>
        <w:t xml:space="preserve">Évaluation socio-économique du PNUD</w:t>
      </w:r>
    </w:p>
    <w:p>
      <w:pPr>
        <w:spacing w:after="140"/>
      </w:pPr>
      <w:r>
        <w:rPr>
          <w:sz w:val="24"/>
          <w:szCs w:val="24"/>
        </w:rPr>
        <w:t xml:space="preserve">Rapport annuel PNUD 2025</w:t>
      </w:r>
    </w:p>
    <w:p>
      <w:pPr>
        <w:spacing w:after="140"/>
      </w:pPr>
      <w:r>
        <w:rPr>
          <w:sz w:val="24"/>
          <w:szCs w:val="24"/>
        </w:rPr>
        <w:t xml:space="preserve">Profil de compétences OIT</w:t>
      </w:r>
    </w:p>
    <w:p>
      <w:pPr>
        <w:spacing w:after="140"/>
      </w:pPr>
      <w:r>
        <w:rPr>
          <w:sz w:val="24"/>
          <w:szCs w:val="24"/>
        </w:rPr>
        <w:t xml:space="preserve">Stratégie de la Banque centrale 2026–2030</w:t>
      </w:r>
    </w:p>
    <w:p>
      <w:pPr>
        <w:spacing w:after="140"/>
      </w:pPr>
      <w:r>
        <w:rPr>
          <w:sz w:val="24"/>
          <w:szCs w:val="24"/>
        </w:rPr>
        <w:t xml:space="preserve">Déclaration sur le marché compétitif régulé</w:t>
      </w:r>
    </w:p>
    <w:p>
      <w:pPr>
        <w:spacing w:after="140"/>
      </w:pPr>
      <w:r>
        <w:rPr>
          <w:sz w:val="24"/>
          <w:szCs w:val="24"/>
        </w:rPr>
        <w:t xml:space="preserve">20. Questions fréquentes</w:t>
      </w:r>
    </w:p>
    <w:p>
      <w:pPr>
        <w:spacing w:after="140"/>
      </w:pPr>
      <w:r>
        <w:rPr>
          <w:sz w:val="24"/>
          <w:szCs w:val="24"/>
        </w:rPr>
        <w:t xml:space="preserve">Conclusion</w:t>
      </w:r>
    </w:p>
    <w:p>
      <w:pPr>
        <w:spacing w:after="140"/>
      </w:pPr>
      <w:r>
        <w:rPr>
          <w:sz w:val="24"/>
          <w:szCs w:val="24"/>
        </w:rPr>
        <w:t xml:space="preserve">L’image la plus juste en 2026 est celle d’une économie qui retrouve de l’élan depuis une base gravement affaiblie. Baisse de l’inflation, meilleure connexion, énergie et réformes sont importantes, sans effacer pauvreté, faiblesse du crédit, dégâts et manque de données. Une bonne décision repose sur des sources datées, des fourchettes, des indicateurs locaux, des scénarios et une liquidité suffisante.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L’économie syrienne en 2026 : comprendre la croissance, l’inflation, la monnaie, l’investissement et la reconstruction</dc:title>
  <dc:creator>Bsouria Editorial</dc:creator>
  <cp:lastModifiedBy>Bsouria</cp:lastModifiedBy>
  <dcterms:created xsi:type="dcterms:W3CDTF">2026-09-15T14:28:04Z</dcterms:created>
</cp:coreProperties>
</file>