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Le dossier fiscal intelligent de l’entreprise syrienne en 2026</w:t>
      </w:r>
    </w:p>
    <w:p>
      <w:pPr/>
      <w:r>
        <w:rPr>
          <w:i/>
          <w:color w:val="64736B"/>
        </w:rPr>
        <w:t>Ander · 2026-07-29</w:t>
      </w:r>
    </w:p>
    <w:p>
      <w:pPr>
        <w:spacing w:after="220"/>
      </w:pPr>
      <w:r>
        <w:rPr>
          <w:i/>
        </w:rPr>
        <w:t>Guide des factures, dépenses, stock, paie, banques, importations et contrôle.</w:t>
      </w:r>
    </w:p>
    <w:p>
      <w:pPr>
        <w:spacing w:after="140"/>
      </w:pPr>
      <w:r>
        <w:rPr>
          <w:sz w:val="24"/>
          <w:szCs w:val="24"/>
        </w:rPr>
        <w:t xml:space="preserve">Cet article est un guide détaillé, rédigé dans un langage humain, pour les entreprises qui travaillent en Syrie ou avec le marché syrien. Il ne se contente pas de définir des concepts : chaque règle est reliée à un responsable, une preuve, une date et un résultat mesurable. Même dans une petite structure, une décision laissée à la mémoire peut devenir une perte, un retard ou un risque de conformité.</w:t>
      </w:r>
    </w:p>
    <w:p>
      <w:pPr>
        <w:spacing w:after="140"/>
      </w:pPr>
      <w:r>
        <w:rPr>
          <w:sz w:val="24"/>
          <w:szCs w:val="24"/>
        </w:rPr>
        <w:t xml:space="preserve">Note importante : Les règles bancaires, fiscales, douanières, de sanctions et de licence peuvent évoluer. Confirmez chaque opération importante auprès des sources officielles et d’un professionnel compétent.</w:t>
      </w:r>
    </w:p>
    <w:p>
      <w:pPr>
        <w:spacing w:after="140"/>
      </w:pPr>
      <w:r>
        <w:rPr>
          <w:sz w:val="24"/>
          <w:szCs w:val="24"/>
        </w:rPr>
        <w:t xml:space="preserve">La chaîne de preuve</w:t>
      </w:r>
    </w:p>
    <w:p>
      <w:pPr>
        <w:spacing w:after="140"/>
      </w:pPr>
      <w:r>
        <w:rPr>
          <w:sz w:val="24"/>
          <w:szCs w:val="24"/>
        </w:rPr>
        <w:t xml:space="preserve">Cette section porte sur Reliez contrat, facture, livraison et paiement..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Indexez par opération.</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Calendrier de conformité</w:t>
      </w:r>
    </w:p>
    <w:p>
      <w:pPr>
        <w:spacing w:after="140"/>
      </w:pPr>
      <w:r>
        <w:rPr>
          <w:sz w:val="24"/>
          <w:szCs w:val="24"/>
        </w:rPr>
        <w:t xml:space="preserve">Cette section porte sur Fixez une date interne avant l’échéance..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Conservez toute décision de prorogation.</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Contrôle des factures</w:t>
      </w:r>
    </w:p>
    <w:p>
      <w:pPr>
        <w:spacing w:after="140"/>
      </w:pPr>
      <w:r>
        <w:rPr>
          <w:sz w:val="24"/>
          <w:szCs w:val="24"/>
        </w:rPr>
        <w:t xml:space="preserve">Cette section porte sur Contrôlez la séquence..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Nettoyez les données clients.</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Distinguer revenu et financement</w:t>
      </w:r>
    </w:p>
    <w:p>
      <w:pPr>
        <w:spacing w:after="140"/>
      </w:pPr>
      <w:r>
        <w:rPr>
          <w:sz w:val="24"/>
          <w:szCs w:val="24"/>
        </w:rPr>
        <w:t xml:space="preserve">Cette section porte sur Identifiez partie et objet de chaque dépôt..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Revoyez le compte de l’associé.</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Dépenses défendables</w:t>
      </w:r>
    </w:p>
    <w:p>
      <w:pPr>
        <w:spacing w:after="140"/>
      </w:pPr>
      <w:r>
        <w:rPr>
          <w:sz w:val="24"/>
          <w:szCs w:val="24"/>
        </w:rPr>
        <w:t xml:space="preserve">Cette section porte sur Prouvez l’objet professionnel..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Séparez personnel et professionnel.</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Contrôle des espèces</w:t>
      </w:r>
    </w:p>
    <w:p>
      <w:pPr>
        <w:spacing w:after="140"/>
      </w:pPr>
      <w:r>
        <w:rPr>
          <w:sz w:val="24"/>
          <w:szCs w:val="24"/>
        </w:rPr>
        <w:t xml:space="preserve">Cette section porte sur Utilisez limite et reçus numérotés..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Rapprochez chaque jour.</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Rapprochement bancaire</w:t>
      </w:r>
    </w:p>
    <w:p>
      <w:pPr>
        <w:spacing w:after="140"/>
      </w:pPr>
      <w:r>
        <w:rPr>
          <w:sz w:val="24"/>
          <w:szCs w:val="24"/>
        </w:rPr>
        <w:t xml:space="preserve">Cette section porte sur Ne traitez pas un transfert interne comme revenu..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Enquêtez sur tout montant inconnu.</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Stock et inventaire</w:t>
      </w:r>
    </w:p>
    <w:p>
      <w:pPr>
        <w:spacing w:after="140"/>
      </w:pPr>
      <w:r>
        <w:rPr>
          <w:sz w:val="24"/>
          <w:szCs w:val="24"/>
        </w:rPr>
        <w:t xml:space="preserve">Cette section porte sur Normalisez unités et comptages..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Documentez pertes et échantillons.</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Immobilisations et amortissement</w:t>
      </w:r>
    </w:p>
    <w:p>
      <w:pPr>
        <w:spacing w:after="140"/>
      </w:pPr>
      <w:r>
        <w:rPr>
          <w:sz w:val="24"/>
          <w:szCs w:val="24"/>
        </w:rPr>
        <w:t xml:space="preserve">Cette section porte sur Attribuez numéro et responsable..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Documentez cession et réforme.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Paie et assurance sociale</w:t>
      </w:r>
    </w:p>
    <w:p>
      <w:pPr>
        <w:spacing w:after="140"/>
      </w:pPr>
      <w:r>
        <w:rPr>
          <w:sz w:val="24"/>
          <w:szCs w:val="24"/>
        </w:rPr>
        <w:t xml:space="preserve">Cette section porte sur Rapprochez contrat, paie et paiement..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Séparez avance et salaire.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Dossier fiscal de l’importateur</w:t>
      </w:r>
    </w:p>
    <w:p>
      <w:pPr>
        <w:spacing w:after="140"/>
      </w:pPr>
      <w:r>
        <w:rPr>
          <w:sz w:val="24"/>
          <w:szCs w:val="24"/>
        </w:rPr>
        <w:t xml:space="preserve">Cette section porte sur Créez un dossier par expédition..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Suivez l’avance jusqu’au règlement.</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Contrats et timbre</w:t>
      </w:r>
    </w:p>
    <w:p>
      <w:pPr>
        <w:spacing w:after="140"/>
      </w:pPr>
      <w:r>
        <w:rPr>
          <w:sz w:val="24"/>
          <w:szCs w:val="24"/>
        </w:rPr>
        <w:t xml:space="preserve">Cette section porte sur Précisez taxes et frais..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Revoyez avant signature.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Clôture mensuelle</w:t>
      </w:r>
    </w:p>
    <w:p>
      <w:pPr>
        <w:spacing w:after="140"/>
      </w:pPr>
      <w:r>
        <w:rPr>
          <w:sz w:val="24"/>
          <w:szCs w:val="24"/>
        </w:rPr>
        <w:t xml:space="preserve">Cette section porte sur Utilisez une liste de clôture..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Ne reportez pas tout à la fin de l’année.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Dossier de contrôle</w:t>
      </w:r>
    </w:p>
    <w:p>
      <w:pPr>
        <w:spacing w:after="140"/>
      </w:pPr>
      <w:r>
        <w:rPr>
          <w:sz w:val="24"/>
          <w:szCs w:val="24"/>
        </w:rPr>
        <w:t xml:space="preserve">Cette section porte sur Désignez un interlocuteur et un journal..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Conservez chaque copie transmise.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Réclamation et délai</w:t>
      </w:r>
    </w:p>
    <w:p>
      <w:pPr>
        <w:spacing w:after="140"/>
      </w:pPr>
      <w:r>
        <w:rPr>
          <w:sz w:val="24"/>
          <w:szCs w:val="24"/>
        </w:rPr>
        <w:t xml:space="preserve">Cette section porte sur Identifiez motif et délai..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Reliez chaque argument à une preuve.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Préparation numérique</w:t>
      </w:r>
    </w:p>
    <w:p>
      <w:pPr>
        <w:spacing w:after="140"/>
      </w:pPr>
      <w:r>
        <w:rPr>
          <w:sz w:val="24"/>
          <w:szCs w:val="24"/>
        </w:rPr>
        <w:t xml:space="preserve">Cette section porte sur Nettoyez les données et testez la sauvegarde..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Limitez les droits de suppression.</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Parties liées</w:t>
      </w:r>
    </w:p>
    <w:p>
      <w:pPr>
        <w:spacing w:after="140"/>
      </w:pPr>
      <w:r>
        <w:rPr>
          <w:sz w:val="24"/>
          <w:szCs w:val="24"/>
        </w:rPr>
        <w:t xml:space="preserve">Cette section porte sur documenting owner and related-company loans, sales and purchases.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Conservation et sauvegarde</w:t>
      </w:r>
    </w:p>
    <w:p>
      <w:pPr>
        <w:spacing w:after="140"/>
      </w:pPr>
      <w:r>
        <w:rPr>
          <w:sz w:val="24"/>
          <w:szCs w:val="24"/>
        </w:rPr>
        <w:t xml:space="preserve">Cette section porte sur defining retention for originals, digital copies, email and statements.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Suivi des évolutions juridiques</w:t>
      </w:r>
    </w:p>
    <w:p>
      <w:pPr>
        <w:spacing w:after="140"/>
      </w:pPr>
      <w:r>
        <w:rPr>
          <w:sz w:val="24"/>
          <w:szCs w:val="24"/>
        </w:rPr>
        <w:t xml:space="preserve">Cette section porte sur tracking instrument, effective date and procedure impact from official sources.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Test par échantillon</w:t>
      </w:r>
    </w:p>
    <w:p>
      <w:pPr>
        <w:spacing w:after="140"/>
      </w:pPr>
      <w:r>
        <w:rPr>
          <w:sz w:val="24"/>
          <w:szCs w:val="24"/>
        </w:rPr>
        <w:t xml:space="preserve">Cette section porte sur tracing sales and purchases from ledger to evidence and evidence to ledger. Dans le travail quotidien, la faiblesse n’est pas toujours visible immédiatement. Les ventes peuvent sembler bonnes et les dossiers complets alors qu’un écart de trésorerie, de preuve, de délai ou de responsabilité se développe silencieusement. Le principe doit donc devenir une procédure claire, utilisable par une personne identifiée.</w:t>
      </w:r>
    </w:p>
    <w:p>
      <w:pPr>
        <w:spacing w:after="140"/>
      </w:pPr>
      <w:r>
        <w:rPr>
          <w:sz w:val="24"/>
          <w:szCs w:val="24"/>
        </w:rPr>
        <w:t xml:space="preserve">L’erreur la plus fréquente consiste à ne pas laisser de référence, d’approbation ou de document au moment où l’opération se produit. Plusieurs mois plus tard, il devient difficile de reconstruire les faits. Un bon contrôle ne cherche pas à ralentir l’activité ; il permet de prendre la bonne décision au bon moment et de rendre chaque exception compréhensible.</w:t>
      </w:r>
    </w:p>
    <w:p>
      <w:pPr>
        <w:spacing w:after="140"/>
      </w:pPr>
      <w:r>
        <w:rPr>
          <w:sz w:val="24"/>
          <w:szCs w:val="24"/>
        </w:rPr>
        <w:t xml:space="preserve">Créez un formulaire simple et désignez un responsable.</w:t>
      </w:r>
    </w:p>
    <w:p>
      <w:pPr>
        <w:spacing w:after="140"/>
      </w:pPr>
      <w:r>
        <w:rPr>
          <w:sz w:val="24"/>
          <w:szCs w:val="24"/>
        </w:rPr>
        <w:t xml:space="preserve">Désignez un responsable et un remplaçant.</w:t>
      </w:r>
    </w:p>
    <w:p>
      <w:pPr>
        <w:spacing w:after="140"/>
      </w:pPr>
      <w:r>
        <w:rPr>
          <w:sz w:val="24"/>
          <w:szCs w:val="24"/>
        </w:rPr>
        <w:t xml:space="preserve">Conservez preuve, date et numéro d’opération dans le même dossier.</w:t>
      </w:r>
    </w:p>
    <w:p>
      <w:pPr>
        <w:spacing w:after="140"/>
      </w:pPr>
      <w:r>
        <w:rPr>
          <w:sz w:val="24"/>
          <w:szCs w:val="24"/>
        </w:rPr>
        <w:t xml:space="preserve">Testez la procédure pendant deux semaines puis mesurez le résultat.</w:t>
      </w:r>
    </w:p>
    <w:p>
      <w:pPr>
        <w:spacing w:after="140"/>
      </w:pPr>
      <w:r>
        <w:rPr>
          <w:sz w:val="24"/>
          <w:szCs w:val="24"/>
        </w:rPr>
        <w:t xml:space="preserve">Commencez par un petit échantillon de cinq opérations et suivez-les du début à la fin. Notez les attentes, répétitions, informations manquantes et problèmes d’autorisation. Ne mesurez pas seulement le résultat final : identifiez aussi la cause de chaque retard ou différence. L’équipe peut alors corriger le processus plutôt que chercher un responsable individuel.</w:t>
      </w:r>
    </w:p>
    <w:p>
      <w:pPr>
        <w:spacing w:after="140"/>
      </w:pPr>
      <w:r>
        <w:rPr>
          <w:sz w:val="24"/>
          <w:szCs w:val="24"/>
        </w:rPr>
        <w:t xml:space="preserve">À la fin de la semaine, demandez si une nouvelle personne peut comprendre l’opération en consultant uniquement le dossier. Si une longue explication orale reste nécessaire, ajoutez un champ, une liste de contrôle, une approbation ou une preuve. Cette méthode transforme l’expérience personnelle en connaissance durable pour l’entreprise.</w:t>
      </w:r>
    </w:p>
    <w:p>
      <w:pPr>
        <w:spacing w:after="140"/>
      </w:pPr>
      <w:r>
        <w:rPr>
          <w:sz w:val="24"/>
          <w:szCs w:val="24"/>
        </w:rPr>
        <w:t xml:space="preserve">Questions fréquentes</w:t>
      </w:r>
    </w:p>
    <w:p>
      <w:pPr>
        <w:spacing w:after="140"/>
      </w:pPr>
      <w:r>
        <w:rPr>
          <w:sz w:val="24"/>
          <w:szCs w:val="24"/>
        </w:rPr>
        <w:t xml:space="preserve">Faut-il un logiciel coûteux ? Non. Il faut d’abord des règles claires, une numérotation, des responsabilités et un rapprochement régulier.</w:t>
      </w:r>
    </w:p>
    <w:p>
      <w:pPr>
        <w:spacing w:after="140"/>
      </w:pPr>
      <w:r>
        <w:rPr>
          <w:sz w:val="24"/>
          <w:szCs w:val="24"/>
        </w:rPr>
        <w:t xml:space="preserve">Une très petite entreprise peut-elle appliquer la méthode ? Oui. Les formulaires peuvent être plus courts, mais la preuve, la date, le responsable et la revue doivent rester.</w:t>
      </w:r>
    </w:p>
    <w:p>
      <w:pPr>
        <w:spacing w:after="140"/>
      </w:pPr>
      <w:r>
        <w:rPr>
          <w:sz w:val="24"/>
          <w:szCs w:val="24"/>
        </w:rPr>
        <w:t xml:space="preserve">Quand faut-il consulter un expert ? Pour un montant important, un contrat complexe, un contrôle fiscal, un classement douanier, une sanction ou un paiement transfrontalier.</w:t>
      </w:r>
    </w:p>
    <w:p>
      <w:pPr>
        <w:spacing w:after="140"/>
      </w:pPr>
      <w:r>
        <w:rPr>
          <w:sz w:val="24"/>
          <w:szCs w:val="24"/>
        </w:rPr>
        <w:t xml:space="preserve">Comment mesurer l’amélioration ? Comparez délai, retards, écarts, erreurs, retours, déficit de trésorerie ou dépassement de coût avant et après.</w:t>
      </w:r>
    </w:p>
    <w:p>
      <w:pPr>
        <w:spacing w:after="140"/>
      </w:pPr>
      <w:r>
        <w:rPr>
          <w:sz w:val="24"/>
          <w:szCs w:val="24"/>
        </w:rPr>
        <w:t xml:space="preserve">Sources et liens officiels</w:t>
      </w:r>
    </w:p>
    <w:p>
      <w:pPr>
        <w:spacing w:after="140"/>
      </w:pPr>
      <w:r>
        <w:rPr>
          <w:sz w:val="24"/>
          <w:szCs w:val="24"/>
        </w:rPr>
        <w:t xml:space="preserve">Syrian tax authority</w:t>
      </w:r>
    </w:p>
    <w:p>
      <w:pPr>
        <w:spacing w:after="140"/>
      </w:pPr>
      <w:r>
        <w:rPr>
          <w:sz w:val="24"/>
          <w:szCs w:val="24"/>
        </w:rPr>
        <w:t xml:space="preserve">Syrian Income Tax Law – WIPO Lex</w:t>
      </w:r>
    </w:p>
    <w:p>
      <w:pPr>
        <w:spacing w:after="140"/>
      </w:pPr>
      <w:r>
        <w:rPr>
          <w:sz w:val="24"/>
          <w:szCs w:val="24"/>
        </w:rPr>
        <w:t xml:space="preserve">World Bank public financial management grant</w:t>
      </w:r>
    </w:p>
    <w:p>
      <w:pPr>
        <w:spacing w:after="140"/>
      </w:pPr>
      <w:r>
        <w:rPr>
          <w:sz w:val="24"/>
          <w:szCs w:val="24"/>
        </w:rPr>
        <w:t xml:space="preserve">Conclusion</w:t>
      </w:r>
    </w:p>
    <w:p>
      <w:pPr>
        <w:spacing w:after="140"/>
      </w:pPr>
      <w:r>
        <w:rPr>
          <w:sz w:val="24"/>
          <w:szCs w:val="24"/>
        </w:rPr>
        <w:t xml:space="preserve">Un système solide ne doit pas être parfait. Il doit être visible, explicable et améliorable. Lorsque décision, preuve, responsabilité et mesure sont réunies, la croissance devient moins chaotique et plus durable.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Le dossier fiscal intelligent de l’entreprise syrienne en 2026</dc:title>
  <dc:creator>Ander</dc:creator>
  <cp:lastModifiedBy>Bsouria</cp:lastModifiedBy>
  <dcterms:created xsi:type="dcterms:W3CDTF">2026-07-31T02:22:56Z</dcterms:created>
</cp:coreProperties>
</file>