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Créer une entreprise en Syrie en 2026 : de l’idée à l’exploitation</w:t>
      </w:r>
    </w:p>
    <w:p>
      <w:pPr/>
      <w:r>
        <w:rPr>
          <w:i/>
          <w:color w:val="64736B"/>
        </w:rPr>
        <w:t>Bsouria Editorial · 2026-07-26</w:t>
      </w:r>
    </w:p>
    <w:p>
      <w:pPr>
        <w:spacing w:after="220"/>
      </w:pPr>
      <w:r>
        <w:rPr>
          <w:i/>
        </w:rPr>
        <w:t>Guide pratique sur la forme juridique, le pacte, le capital, l’immatriculation, les licences, la comptabilité et les 90 premiers jours.</w:t>
      </w:r>
    </w:p>
    <w:p>
      <w:pPr>
        <w:spacing w:after="140"/>
      </w:pPr>
      <w:r>
        <w:rPr>
          <w:sz w:val="24"/>
          <w:szCs w:val="24"/>
        </w:rPr>
        <w:t xml:space="preserve">Créer une société en Syrie ne consiste pas seulement à obtenir un registre du commerce. L’immatriculation fait naître une personne morale ; elle ne choisit pas la bonne forme juridique, ne règle pas les pouvoirs des associés, ne finance pas le besoin en fonds de roulement et ne remplace pas les licences sectorielles. Ce guide vise une entreprise réellement exploitable, pas une société de papier.</w:t>
      </w:r>
    </w:p>
    <w:p>
      <w:pPr>
        <w:spacing w:after="140"/>
      </w:pPr>
      <w:r>
        <w:rPr>
          <w:sz w:val="24"/>
          <w:szCs w:val="24"/>
        </w:rPr>
        <w:t xml:space="preserve">Note juridique : ce contenu est un guide général et ne remplace pas un conseil juridique, fiscal ou comptable adapté. Les instructions évoluent et certaines activités nécessitent des autorisations supplémentaires.</w:t>
      </w:r>
    </w:p>
    <w:p>
      <w:pPr>
        <w:spacing w:after="140"/>
      </w:pPr>
      <w:r>
        <w:rPr>
          <w:sz w:val="24"/>
          <w:szCs w:val="24"/>
        </w:rPr>
        <w:t xml:space="preserve">Ce qui a changé en 2026</w:t>
      </w:r>
    </w:p>
    <w:p>
      <w:pPr>
        <w:spacing w:after="140"/>
      </w:pPr>
      <w:r>
        <w:rPr>
          <w:sz w:val="24"/>
          <w:szCs w:val="24"/>
        </w:rPr>
        <w:t xml:space="preserve">En juillet 2026, un service électronique de constitution de sociétés a été lancé pour plusieurs formes juridiques. Une circulaire ultérieure a cherché à uniformiser les pratiques des services des sociétés et des registres commerciaux dans les gouvernorats, afin d’accélérer la constitution, la publication et la première immatriculation lorsque les documents de base sont remis.</w:t>
      </w:r>
    </w:p>
    <w:p>
      <w:pPr>
        <w:spacing w:after="140"/>
      </w:pPr>
      <w:r>
        <w:rPr>
          <w:sz w:val="24"/>
          <w:szCs w:val="24"/>
        </w:rPr>
        <w:t xml:space="preserve">La numérisation raccourcit une procédure ; elle ne détermine pas la forme adaptée, les droits de vote, le capital de départ, les licences ou la structure de propriété.</w:t>
      </w:r>
    </w:p>
    <w:p>
      <w:pPr>
        <w:spacing w:after="140"/>
      </w:pPr>
      <w:r>
        <w:rPr>
          <w:sz w:val="24"/>
          <w:szCs w:val="24"/>
        </w:rPr>
        <w:t xml:space="preserve">Les autorités ont annoncé 1 846 sociétés enregistrées depuis le début de 2026 jusqu’à fin mai, dont 1 349 sociétés à responsabilité limitée. La SARL est fréquente, mais elle n’est pas automatiquement la meilleure solution pour chaque projet.</w:t>
      </w:r>
    </w:p>
    <w:p>
      <w:pPr>
        <w:spacing w:after="140"/>
      </w:pPr>
      <w:r>
        <w:rPr>
          <w:sz w:val="24"/>
          <w:szCs w:val="24"/>
        </w:rPr>
        <w:t xml:space="preserve">Écrire un modèle d’une page avant le formulaire</w:t>
      </w:r>
    </w:p>
    <w:p>
      <w:pPr>
        <w:spacing w:after="140"/>
      </w:pPr>
      <w:r>
        <w:rPr>
          <w:sz w:val="24"/>
          <w:szCs w:val="24"/>
        </w:rPr>
        <w:t xml:space="preserve">Décrivez le client, le besoin, l’offre, le canal de vente, le délai de paiement, les fournisseurs essentiels, les coûts fixes et variables et les trois événements susceptibles d’arrêter le projet.</w:t>
      </w:r>
    </w:p>
    <w:p>
      <w:pPr>
        <w:spacing w:after="140"/>
      </w:pPr>
      <w:r>
        <w:rPr>
          <w:sz w:val="24"/>
          <w:szCs w:val="24"/>
        </w:rPr>
        <w:t xml:space="preserve">Cette page évite de créer d’abord une entité très large puis de découvrir que l’activité exige une licence, un local précis, une propriété particulière ou davantage de liquidités.</w:t>
      </w:r>
    </w:p>
    <w:p>
      <w:pPr>
        <w:spacing w:after="140"/>
      </w:pPr>
      <w:r>
        <w:rPr>
          <w:sz w:val="24"/>
          <w:szCs w:val="24"/>
        </w:rPr>
        <w:t xml:space="preserve">Description simple de l’activité principale.</w:t>
      </w:r>
    </w:p>
    <w:p>
      <w:pPr>
        <w:spacing w:after="140"/>
      </w:pPr>
      <w:r>
        <w:rPr>
          <w:sz w:val="24"/>
          <w:szCs w:val="24"/>
        </w:rPr>
        <w:t xml:space="preserve">Trois sources de revenu réalistes.</w:t>
      </w:r>
    </w:p>
    <w:p>
      <w:pPr>
        <w:spacing w:after="140"/>
      </w:pPr>
      <w:r>
        <w:rPr>
          <w:sz w:val="24"/>
          <w:szCs w:val="24"/>
        </w:rPr>
        <w:t xml:space="preserve">Coûts sur douze mois.</w:t>
      </w:r>
    </w:p>
    <w:p>
      <w:pPr>
        <w:spacing w:after="140"/>
      </w:pPr>
      <w:r>
        <w:rPr>
          <w:sz w:val="24"/>
          <w:szCs w:val="24"/>
        </w:rPr>
        <w:t xml:space="preserve">Autorisations requises avant l’exploitation.</w:t>
      </w:r>
    </w:p>
    <w:p>
      <w:pPr>
        <w:spacing w:after="140"/>
      </w:pPr>
      <w:r>
        <w:rPr>
          <w:sz w:val="24"/>
          <w:szCs w:val="24"/>
        </w:rPr>
        <w:t xml:space="preserve">Règle de décision en cas de désaccord.</w:t>
      </w:r>
    </w:p>
    <w:p>
      <w:pPr>
        <w:spacing w:after="140"/>
      </w:pPr>
      <w:r>
        <w:rPr>
          <w:sz w:val="24"/>
          <w:szCs w:val="24"/>
        </w:rPr>
        <w:t xml:space="preserve">Financement du premier déficit de trésorerie.</w:t>
      </w:r>
    </w:p>
    <w:p>
      <w:pPr>
        <w:spacing w:after="140"/>
      </w:pPr>
      <w:r>
        <w:rPr>
          <w:sz w:val="24"/>
          <w:szCs w:val="24"/>
        </w:rPr>
        <w:t xml:space="preserve">Choisir la forme pour le jour difficile</w:t>
      </w:r>
    </w:p>
    <w:p>
      <w:pPr>
        <w:spacing w:after="140"/>
      </w:pPr>
      <w:r>
        <w:rPr>
          <w:sz w:val="24"/>
          <w:szCs w:val="24"/>
        </w:rPr>
        <w:t xml:space="preserve">Entreprise individuelle, société en nom collectif, commandite, SARL et société par actions fermée répartissent différemment la responsabilité, le pouvoir, la transmission et l’entrée d’investisseurs. La forme la moins chère à créer peut devenir la plus coûteuse lors d’un conflit ou d’une levée de fonds.</w:t>
      </w:r>
    </w:p>
    <w:p>
      <w:pPr>
        <w:spacing w:after="140"/>
      </w:pPr>
      <w:r>
        <w:rPr>
          <w:sz w:val="24"/>
          <w:szCs w:val="24"/>
        </w:rPr>
        <w:t xml:space="preserve">FormeSouvent adaptée àQuestion essentielleActivité individuellePetite activité gérée par son propriétaireQuelle exposition personnelle ?Société en nom collectifAssociés actifs qui se connaissent très bienComment l’engagement d’un associé touche-t-il les autres ?SARLPME qui veulent une entité distincteLes statuts et le pacte évitent-ils le blocage ?Société par actions ferméeProjet plus grand ou plusieurs investisseursL’entreprise peut-elle supporter plus de gouvernance ?</w:t>
      </w:r>
    </w:p>
    <w:p>
      <w:pPr>
        <w:spacing w:after="140"/>
      </w:pPr>
      <w:r>
        <w:rPr>
          <w:sz w:val="24"/>
          <w:szCs w:val="24"/>
        </w:rPr>
        <w:t xml:space="preserve">Testez la forme face au départ d’un associé, à l’arrivée d’un investisseur, au transfert d’une part et à la continuité de l’activité.</w:t>
      </w:r>
    </w:p>
    <w:p>
      <w:pPr>
        <w:spacing w:after="140"/>
      </w:pPr>
      <w:r>
        <w:rPr>
          <w:sz w:val="24"/>
          <w:szCs w:val="24"/>
        </w:rPr>
        <w:t xml:space="preserve">Le pacte d’associés protège la relation</w:t>
      </w:r>
    </w:p>
    <w:p>
      <w:pPr>
        <w:spacing w:after="140"/>
      </w:pPr>
      <w:r>
        <w:rPr>
          <w:sz w:val="24"/>
          <w:szCs w:val="24"/>
        </w:rPr>
        <w:t xml:space="preserve">Une répartition égale paraît simple. Un an plus tard, l’un a financé, l’autre travaille chaque jour et le troisième apporte quelques contacts. La confiance n’est pas le problème ; l’absence de définition de la contribution l’est.</w:t>
      </w:r>
    </w:p>
    <w:p>
      <w:pPr>
        <w:spacing w:after="140"/>
      </w:pPr>
      <w:r>
        <w:rPr>
          <w:sz w:val="24"/>
          <w:szCs w:val="24"/>
        </w:rPr>
        <w:t xml:space="preserve">Pouvoir de signature et plafonds de dépenses.</w:t>
      </w:r>
    </w:p>
    <w:p>
      <w:pPr>
        <w:spacing w:after="140"/>
      </w:pPr>
      <w:r>
        <w:rPr>
          <w:sz w:val="24"/>
          <w:szCs w:val="24"/>
        </w:rPr>
        <w:t xml:space="preserve">Salaire de l’associé actif et dividendes.</w:t>
      </w:r>
    </w:p>
    <w:p>
      <w:pPr>
        <w:spacing w:after="140"/>
      </w:pPr>
      <w:r>
        <w:rPr>
          <w:sz w:val="24"/>
          <w:szCs w:val="24"/>
        </w:rPr>
        <w:t xml:space="preserve">Décisions réservées à une majorité renforcée.</w:t>
      </w:r>
    </w:p>
    <w:p>
      <w:pPr>
        <w:spacing w:after="140"/>
      </w:pPr>
      <w:r>
        <w:rPr>
          <w:sz w:val="24"/>
          <w:szCs w:val="24"/>
        </w:rPr>
        <w:t xml:space="preserve">Défaut de financement ou de travail promis.</w:t>
      </w:r>
    </w:p>
    <w:p>
      <w:pPr>
        <w:spacing w:after="140"/>
      </w:pPr>
      <w:r>
        <w:rPr>
          <w:sz w:val="24"/>
          <w:szCs w:val="24"/>
        </w:rPr>
        <w:t xml:space="preserve">Valorisation et transfert des parts.</w:t>
      </w:r>
    </w:p>
    <w:p>
      <w:pPr>
        <w:spacing w:after="140"/>
      </w:pPr>
      <w:r>
        <w:rPr>
          <w:sz w:val="24"/>
          <w:szCs w:val="24"/>
        </w:rPr>
        <w:t xml:space="preserve">Non-concurrence et confidentialité.</w:t>
      </w:r>
    </w:p>
    <w:p>
      <w:pPr>
        <w:spacing w:after="140"/>
      </w:pPr>
      <w:r>
        <w:rPr>
          <w:sz w:val="24"/>
          <w:szCs w:val="24"/>
        </w:rPr>
        <w:t xml:space="preserve">Résolution d’un blocage.</w:t>
      </w:r>
    </w:p>
    <w:p>
      <w:pPr>
        <w:spacing w:after="140"/>
      </w:pPr>
      <w:r>
        <w:rPr>
          <w:sz w:val="24"/>
          <w:szCs w:val="24"/>
        </w:rPr>
        <w:t xml:space="preserve">Décès, incapacité et succession.</w:t>
      </w:r>
    </w:p>
    <w:p>
      <w:pPr>
        <w:spacing w:after="140"/>
      </w:pPr>
      <w:r>
        <w:rPr>
          <w:sz w:val="24"/>
          <w:szCs w:val="24"/>
        </w:rPr>
        <w:t xml:space="preserve">Dénomination et objets sociaux</w:t>
      </w:r>
    </w:p>
    <w:p>
      <w:pPr>
        <w:spacing w:after="140"/>
      </w:pPr>
      <w:r>
        <w:rPr>
          <w:sz w:val="24"/>
          <w:szCs w:val="24"/>
        </w:rPr>
        <w:t xml:space="preserve">N’investissez pas entièrement dans la marque avant l’acceptation du nom. Limitez les objets à l’activité réelle et à l’évolution proche. Une circulaire de mars 2026 permet jusqu’à cinq activités non homogènes dans le registre commercial, mais l’objet inscrit ne remplace jamais l’agrément sectoriel.</w:t>
      </w:r>
    </w:p>
    <w:p>
      <w:pPr>
        <w:spacing w:after="140"/>
      </w:pPr>
      <w:r>
        <w:rPr>
          <w:sz w:val="24"/>
          <w:szCs w:val="24"/>
        </w:rPr>
        <w:t xml:space="preserve">Transport, éducation, santé, finance, sécurité privée, médias, alimentation et certaines professions peuvent relever de conditions supplémentaires.</w:t>
      </w:r>
    </w:p>
    <w:p>
      <w:pPr>
        <w:spacing w:after="140"/>
      </w:pPr>
      <w:r>
        <w:rPr>
          <w:sz w:val="24"/>
          <w:szCs w:val="24"/>
        </w:rPr>
        <w:t xml:space="preserve">Construire une salle de documents</w:t>
      </w:r>
    </w:p>
    <w:p>
      <w:pPr>
        <w:spacing w:after="140"/>
      </w:pPr>
      <w:r>
        <w:rPr>
          <w:sz w:val="24"/>
          <w:szCs w:val="24"/>
        </w:rPr>
        <w:t xml:space="preserve">Classez les identités, pouvoirs, preuve d’adresse et d’occupation, nom, objets, capital, répartition, dirigeants, signataires et documents constitutifs. Les associés personnes morales ou non-résidents peuvent avoir besoin de légalisation, traduction et mandat spécifique.</w:t>
      </w:r>
    </w:p>
    <w:p>
      <w:pPr>
        <w:spacing w:after="140"/>
      </w:pPr>
      <w:r>
        <w:rPr>
          <w:sz w:val="24"/>
          <w:szCs w:val="24"/>
        </w:rPr>
        <w:t xml:space="preserve">Une liste par associé et par fonction.</w:t>
      </w:r>
    </w:p>
    <w:p>
      <w:pPr>
        <w:spacing w:after="140"/>
      </w:pPr>
      <w:r>
        <w:rPr>
          <w:sz w:val="24"/>
          <w:szCs w:val="24"/>
        </w:rPr>
        <w:t xml:space="preserve">Même orthographe des noms et mêmes numéros partout.</w:t>
      </w:r>
    </w:p>
    <w:p>
      <w:pPr>
        <w:spacing w:after="140"/>
      </w:pPr>
      <w:r>
        <w:rPr>
          <w:sz w:val="24"/>
          <w:szCs w:val="24"/>
        </w:rPr>
        <w:t xml:space="preserve">Séparer constitution et licence d’exploitation.</w:t>
      </w:r>
    </w:p>
    <w:p>
      <w:pPr>
        <w:spacing w:after="140"/>
      </w:pPr>
      <w:r>
        <w:rPr>
          <w:sz w:val="24"/>
          <w:szCs w:val="24"/>
        </w:rPr>
        <w:t xml:space="preserve">Conserver chaque version déposée avec sa date.</w:t>
      </w:r>
    </w:p>
    <w:p>
      <w:pPr>
        <w:spacing w:after="140"/>
      </w:pPr>
      <w:r>
        <w:rPr>
          <w:sz w:val="24"/>
          <w:szCs w:val="24"/>
        </w:rPr>
        <w:t xml:space="preserve">Noter numéro de dossier, date et bureau.</w:t>
      </w:r>
    </w:p>
    <w:p>
      <w:pPr>
        <w:spacing w:after="140"/>
      </w:pPr>
      <w:r>
        <w:rPr>
          <w:sz w:val="24"/>
          <w:szCs w:val="24"/>
        </w:rPr>
        <w:t xml:space="preserve">Tracer le détenteur de chaque original.</w:t>
      </w:r>
    </w:p>
    <w:p>
      <w:pPr>
        <w:spacing w:after="140"/>
      </w:pPr>
      <w:r>
        <w:rPr>
          <w:sz w:val="24"/>
          <w:szCs w:val="24"/>
        </w:rPr>
        <w:t xml:space="preserve">Capital, prêt d’associé et discipline de trésorerie</w:t>
      </w:r>
    </w:p>
    <w:p>
      <w:pPr>
        <w:spacing w:after="140"/>
      </w:pPr>
      <w:r>
        <w:rPr>
          <w:sz w:val="24"/>
          <w:szCs w:val="24"/>
        </w:rPr>
        <w:t xml:space="preserve">Reliez le capital au coût nécessaire pour atteindre une activité stable : local, matériel, stock, dépôts, salaires, marketing, logiciel, transport et réserve. Séparez les fonds propres permanents du prêt d’associé remboursable.</w:t>
      </w:r>
    </w:p>
    <w:p>
      <w:pPr>
        <w:spacing w:after="140"/>
      </w:pPr>
      <w:r>
        <w:rPr>
          <w:sz w:val="24"/>
          <w:szCs w:val="24"/>
        </w:rPr>
        <w:t xml:space="preserve">N’utilisez pas durablement un compte personnel comme trésorerie. Qualifiez chaque versement : capital, compte courant d’associé, dépense remboursable ou recette.</w:t>
      </w:r>
    </w:p>
    <w:p>
      <w:pPr>
        <w:spacing w:after="140"/>
      </w:pPr>
      <w:r>
        <w:rPr>
          <w:sz w:val="24"/>
          <w:szCs w:val="24"/>
        </w:rPr>
        <w:t xml:space="preserve">Règle pratique : chaque mouvement d’argent doit pouvoir être expliqué en une phrase et justifié par une pièce.</w:t>
      </w:r>
    </w:p>
    <w:p>
      <w:pPr>
        <w:spacing w:after="140"/>
      </w:pPr>
      <w:r>
        <w:rPr>
          <w:sz w:val="24"/>
          <w:szCs w:val="24"/>
        </w:rPr>
        <w:t xml:space="preserve">Constitution ne signifie pas autorisation d’exploiter</w:t>
      </w:r>
    </w:p>
    <w:p>
      <w:pPr>
        <w:spacing w:after="140"/>
      </w:pPr>
      <w:r>
        <w:rPr>
          <w:sz w:val="24"/>
          <w:szCs w:val="24"/>
        </w:rPr>
        <w:t xml:space="preserve">Après l’immatriculation, préparez une matrice des licences : autorité, autorisation, responsable, documents, coût, inspection et renouvellement. Un objet au registre ne donne pas toujours le droit de commencer immédiatement.</w:t>
      </w:r>
    </w:p>
    <w:p>
      <w:pPr>
        <w:spacing w:after="140"/>
      </w:pPr>
      <w:r>
        <w:rPr>
          <w:sz w:val="24"/>
          <w:szCs w:val="24"/>
        </w:rPr>
        <w:t xml:space="preserve">Le décret de 2026 sur les sociétés privées de protection et de gardiennage illustre les exigences sectorielles de propriété, capital, siège et licence. Chaque secteur réglementé doit être vérifié auprès de son autorité compétente.</w:t>
      </w:r>
    </w:p>
    <w:p>
      <w:pPr>
        <w:spacing w:after="140"/>
      </w:pPr>
      <w:r>
        <w:rPr>
          <w:sz w:val="24"/>
          <w:szCs w:val="24"/>
        </w:rPr>
        <w:t xml:space="preserve">Comptabilité et fiscalité dès le premier jour</w:t>
      </w:r>
    </w:p>
    <w:p>
      <w:pPr>
        <w:spacing w:after="140"/>
      </w:pPr>
      <w:r>
        <w:rPr>
          <w:sz w:val="24"/>
          <w:szCs w:val="24"/>
        </w:rPr>
        <w:t xml:space="preserve">Choisissez le comptable avant la première facture. Définissez exercice, plan comptable, validation des dépenses, facturation, archives contractuelles, stock, paie, caisse et rapprochement bancaire.</w:t>
      </w:r>
    </w:p>
    <w:p>
      <w:pPr>
        <w:spacing w:after="140"/>
      </w:pPr>
      <w:r>
        <w:rPr>
          <w:sz w:val="24"/>
          <w:szCs w:val="24"/>
        </w:rPr>
        <w:t xml:space="preserve">Consultez le Guide des impôts et redevances de Bsouria et intégrez impôts, frais, délais de paiement et conformité dans le prix.</w:t>
      </w:r>
    </w:p>
    <w:p>
      <w:pPr>
        <w:spacing w:after="140"/>
      </w:pPr>
      <w:r>
        <w:rPr>
          <w:sz w:val="24"/>
          <w:szCs w:val="24"/>
        </w:rPr>
        <w:t xml:space="preserve">Associé non-résident et bénéficiaire effectif</w:t>
      </w:r>
    </w:p>
    <w:p>
      <w:pPr>
        <w:spacing w:after="140"/>
      </w:pPr>
      <w:r>
        <w:rPr>
          <w:sz w:val="24"/>
          <w:szCs w:val="24"/>
        </w:rPr>
        <w:t xml:space="preserve">Un associé hors de Syrie ajoute une vérification, non une impossibilité. Il faut identifier nationalité, résidence, capacité et signature directe ou par mandataire. La procuration utile vise expressément constitution, statuts, nomination de la direction, réception des décisions et actes nécessaires. Un mandat général vague peut être refusé.</w:t>
      </w:r>
    </w:p>
    <w:p>
      <w:pPr>
        <w:spacing w:after="140"/>
      </w:pPr>
      <w:r>
        <w:rPr>
          <w:sz w:val="24"/>
          <w:szCs w:val="24"/>
        </w:rPr>
        <w:t xml:space="preserve">Si l’associé est une société étrangère, préparez extrait récent, dirigeants, bénéficiaires effectifs et décision interne approuvant l’investissement syrien. Vérifiez légalisation, traduction et durée de validité. Les retards proviennent souvent d’un nom traduit différemment, d’une chaîne de légalisation incomplète ou d’une décision qui n’autorise pas l’investissement et la signature.</w:t>
      </w:r>
    </w:p>
    <w:p>
      <w:pPr>
        <w:spacing w:after="140"/>
      </w:pPr>
      <w:r>
        <w:rPr>
          <w:sz w:val="24"/>
          <w:szCs w:val="24"/>
        </w:rPr>
        <w:t xml:space="preserve">Le bénéficiaire effectif est la personne physique qui possède ou contrôle finalement la structure. Banques et financeurs peuvent le demander. Préparez un organigramme simple avec pourcentages et pièces.</w:t>
      </w:r>
    </w:p>
    <w:p>
      <w:pPr>
        <w:spacing w:after="140"/>
      </w:pPr>
      <w:r>
        <w:rPr>
          <w:sz w:val="24"/>
          <w:szCs w:val="24"/>
        </w:rPr>
        <w:t xml:space="preserve">Salariés, propriété intellectuelle et actifs numériques</w:t>
      </w:r>
    </w:p>
    <w:p>
      <w:pPr>
        <w:spacing w:after="140"/>
      </w:pPr>
      <w:r>
        <w:rPr>
          <w:sz w:val="24"/>
          <w:szCs w:val="24"/>
        </w:rPr>
        <w:t xml:space="preserve">Une société immatriculée peut ne pas posséder ses actifs essentiels. Logiciel sur compte personnel, domaine au nom d’un fondateur ou fichier clients sur le téléphone d’un salarié peuvent quitter l’entreprise avec la personne. Inventoriez domaines, hébergement, courriel, code, réseaux, dessins, marques, clients, clés API et sauvegardes.</w:t>
      </w:r>
    </w:p>
    <w:p>
      <w:pPr>
        <w:spacing w:after="140"/>
      </w:pPr>
      <w:r>
        <w:rPr>
          <w:sz w:val="24"/>
          <w:szCs w:val="24"/>
        </w:rPr>
        <w:t xml:space="preserve">Les contrats doivent traiter propriété du travail, confidentialité, restitution des données et suppression des accès. Utilisez comptes d’entreprise, droits par rôle, double authentification et registre des accès.</w:t>
      </w:r>
    </w:p>
    <w:p>
      <w:pPr>
        <w:spacing w:after="140"/>
      </w:pPr>
      <w:r>
        <w:rPr>
          <w:sz w:val="24"/>
          <w:szCs w:val="24"/>
        </w:rPr>
        <w:t xml:space="preserve">Les documents de travail doivent préciser fonction, lieu, horaires, essai, matériel, dépenses, performance et congés. Une petite société a besoin de davantage de clarté, car elle absorbe moins facilement une erreur.</w:t>
      </w:r>
    </w:p>
    <w:p>
      <w:pPr>
        <w:spacing w:after="140"/>
      </w:pPr>
      <w:r>
        <w:rPr>
          <w:sz w:val="24"/>
          <w:szCs w:val="24"/>
        </w:rPr>
        <w:t xml:space="preserve">Calendrier annuel et tableau de direction</w:t>
      </w:r>
    </w:p>
    <w:p>
      <w:pPr>
        <w:spacing w:after="140"/>
      </w:pPr>
      <w:r>
        <w:rPr>
          <w:sz w:val="24"/>
          <w:szCs w:val="24"/>
        </w:rPr>
        <w:t xml:space="preserve">Regroupez registre, licences, déclarations, réunions, assurances, bail, pouvoirs, inventaire, sauvegardes et revue des bénéficiaires effectifs. Désignez un responsable et des rappels soixante et trente jours avant.</w:t>
      </w:r>
    </w:p>
    <w:p>
      <w:pPr>
        <w:spacing w:after="140"/>
      </w:pPr>
      <w:r>
        <w:rPr>
          <w:sz w:val="24"/>
          <w:szCs w:val="24"/>
        </w:rPr>
        <w:t xml:space="preserve">Une page mensuelle réconciliée peut suffire : cash, créances en retard, ventes, marge, stock, engagements à huit semaines, personnel, questions juridiques et décisions. Elle révèle la difficulté avant la demande urgente de capital.</w:t>
      </w:r>
    </w:p>
    <w:p>
      <w:pPr>
        <w:spacing w:after="140"/>
      </w:pPr>
      <w:r>
        <w:rPr>
          <w:sz w:val="24"/>
          <w:szCs w:val="24"/>
        </w:rPr>
        <w:t xml:space="preserve">Exemple : distributeur à trois associés</w:t>
      </w:r>
    </w:p>
    <w:p>
      <w:pPr>
        <w:spacing w:after="140"/>
      </w:pPr>
      <w:r>
        <w:rPr>
          <w:sz w:val="24"/>
          <w:szCs w:val="24"/>
        </w:rPr>
        <w:t xml:space="preserve">L’un apporte la moitié de l’argent, l’autre gère à temps plein, le troisième apporte un réseau. Un tiers chacun mélange propriété et travail. Les parts peuvent refléter capital et risque ; le dirigeant reçoit un salaire, le commercial une rémunération sur encaissement, et une part promise peut être acquise progressivement.</w:t>
      </w:r>
    </w:p>
    <w:p>
      <w:pPr>
        <w:spacing w:after="140"/>
      </w:pPr>
      <w:r>
        <w:rPr>
          <w:sz w:val="24"/>
          <w:szCs w:val="24"/>
        </w:rPr>
        <w:t xml:space="preserve">Dette importante, nouvelle activité, vente d’un actif essentiel, remplacement du dirigeant ou nouvel associé peuvent exiger une approbation renforcée, tandis que les achats courants dans le budget restent à la direction.</w:t>
      </w:r>
    </w:p>
    <w:p>
      <w:pPr>
        <w:spacing w:after="140"/>
      </w:pPr>
      <w:r>
        <w:rPr>
          <w:sz w:val="24"/>
          <w:szCs w:val="24"/>
        </w:rPr>
        <w:t xml:space="preserve">Les 90 premiers jours</w:t>
      </w:r>
    </w:p>
    <w:p>
      <w:pPr>
        <w:spacing w:after="140"/>
      </w:pPr>
      <w:r>
        <w:rPr>
          <w:sz w:val="24"/>
          <w:szCs w:val="24"/>
        </w:rPr>
        <w:t xml:space="preserve">PériodePrioritéRésultatJours 1–15Juridique, banque, comptabilitéDossier complet et pouvoirs de signatureJours 16–30Contrats, factures, emploiModèles et circuit d’approbationMois 2Vente, encaissement, coût unitaireMarge par produit ou serviceMois 3Gouvernance et risqueRéunion, tableau de bord et plan de trésorerie</w:t>
      </w:r>
    </w:p>
    <w:p>
      <w:pPr>
        <w:spacing w:after="140"/>
      </w:pPr>
      <w:r>
        <w:rPr>
          <w:sz w:val="24"/>
          <w:szCs w:val="24"/>
        </w:rPr>
        <w:t xml:space="preserve">Mesurez la constitution par la capacité à conclure un contrat valable, facturer, encaisser, payer, calculer la marge et produire les justificatifs.</w:t>
      </w:r>
    </w:p>
    <w:p>
      <w:pPr>
        <w:spacing w:after="140"/>
      </w:pPr>
      <w:r>
        <w:rPr>
          <w:sz w:val="24"/>
          <w:szCs w:val="24"/>
        </w:rPr>
        <w:t xml:space="preserve">La boîte à contrats de la première année</w:t>
      </w:r>
    </w:p>
    <w:p>
      <w:pPr>
        <w:spacing w:after="140"/>
      </w:pPr>
      <w:r>
        <w:rPr>
          <w:sz w:val="24"/>
          <w:szCs w:val="24"/>
        </w:rPr>
        <w:t xml:space="preserve">N’attendez pas le premier litige. Préparez devis, bon de commande, contrat de service ou fourniture, procès-verbal de livraison, garantie, avis de retard, confidentialité et, si nécessaire, traitement des données. Le document ne doit pas être long pour paraître juridique ; il doit définir périmètre, prix, taxe, devise, livraison, acceptation, paiement, responsabilité, résiliation et droit applicable.</w:t>
      </w:r>
    </w:p>
    <w:p>
      <w:pPr>
        <w:spacing w:after="140"/>
      </w:pPr>
      <w:r>
        <w:rPr>
          <w:sz w:val="24"/>
          <w:szCs w:val="24"/>
        </w:rPr>
        <w:t xml:space="preserve">Lisez chaque contrat avec deux questions : que devons-nous faire et que se passe-t-il si l’autre partie n’exécute pas ? Prévoyez la modification du périmètre, car beaucoup de pertes viennent de travaux supplémentaires sans nouveau prix ni délai. Reliez la livraison à une preuve et fixez une période d’acceptation.</w:t>
      </w:r>
    </w:p>
    <w:p>
      <w:pPr>
        <w:spacing w:after="140"/>
      </w:pPr>
      <w:r>
        <w:rPr>
          <w:sz w:val="24"/>
          <w:szCs w:val="24"/>
        </w:rPr>
        <w:t xml:space="preserve">Après la première opération encaissée, faites une revue : devis clair, changement de périmètre, heures ou unités consommées, paiement à temps, document manquant demandé par le client. Corrigez le modèle avant l’opération suivante.</w:t>
      </w:r>
    </w:p>
    <w:p>
      <w:pPr>
        <w:spacing w:after="140"/>
      </w:pPr>
      <w:r>
        <w:rPr>
          <w:sz w:val="24"/>
          <w:szCs w:val="24"/>
        </w:rPr>
        <w:t xml:space="preserve">Erreurs fréquentes</w:t>
      </w:r>
    </w:p>
    <w:p>
      <w:pPr>
        <w:spacing w:after="140"/>
      </w:pPr>
      <w:r>
        <w:rPr>
          <w:sz w:val="24"/>
          <w:szCs w:val="24"/>
        </w:rPr>
        <w:t xml:space="preserve">Parts égales sans contribution définie.</w:t>
      </w:r>
    </w:p>
    <w:p>
      <w:pPr>
        <w:spacing w:after="140"/>
      </w:pPr>
      <w:r>
        <w:rPr>
          <w:sz w:val="24"/>
          <w:szCs w:val="24"/>
        </w:rPr>
        <w:t xml:space="preserve">Pouvoir illimité du gérant faute de discussion.</w:t>
      </w:r>
    </w:p>
    <w:p>
      <w:pPr>
        <w:spacing w:after="140"/>
      </w:pPr>
      <w:r>
        <w:rPr>
          <w:sz w:val="24"/>
          <w:szCs w:val="24"/>
        </w:rPr>
        <w:t xml:space="preserve">Adresse temporaire incompatible avec l’activité.</w:t>
      </w:r>
    </w:p>
    <w:p>
      <w:pPr>
        <w:spacing w:after="140"/>
      </w:pPr>
      <w:r>
        <w:rPr>
          <w:sz w:val="24"/>
          <w:szCs w:val="24"/>
        </w:rPr>
        <w:t xml:space="preserve">Mélange capital, prêt d’associé et dépenses privées.</w:t>
      </w:r>
    </w:p>
    <w:p>
      <w:pPr>
        <w:spacing w:after="140"/>
      </w:pPr>
      <w:r>
        <w:rPr>
          <w:sz w:val="24"/>
          <w:szCs w:val="24"/>
        </w:rPr>
        <w:t xml:space="preserve">Exploitation avant agrément sectoriel.</w:t>
      </w:r>
    </w:p>
    <w:p>
      <w:pPr>
        <w:spacing w:after="140"/>
      </w:pPr>
      <w:r>
        <w:rPr>
          <w:sz w:val="24"/>
          <w:szCs w:val="24"/>
        </w:rPr>
        <w:t xml:space="preserve">Embauche sans rôle, contrat et paie.</w:t>
      </w:r>
    </w:p>
    <w:p>
      <w:pPr>
        <w:spacing w:after="140"/>
      </w:pPr>
      <w:r>
        <w:rPr>
          <w:sz w:val="24"/>
          <w:szCs w:val="24"/>
        </w:rPr>
        <w:t xml:space="preserve">Domaines et fichiers clients sous contrôle personnel d’un associé.</w:t>
      </w:r>
    </w:p>
    <w:p>
      <w:pPr>
        <w:spacing w:after="140"/>
      </w:pPr>
      <w:r>
        <w:rPr>
          <w:sz w:val="24"/>
          <w:szCs w:val="24"/>
        </w:rPr>
        <w:t xml:space="preserve">Aucune méthode de sortie ou valorisation.</w:t>
      </w:r>
    </w:p>
    <w:p>
      <w:pPr>
        <w:spacing w:after="140"/>
      </w:pPr>
      <w:r>
        <w:rPr>
          <w:sz w:val="24"/>
          <w:szCs w:val="24"/>
        </w:rPr>
        <w:t xml:space="preserve">Ajout d’activités sans logique commerciale.</w:t>
      </w:r>
    </w:p>
    <w:p>
      <w:pPr>
        <w:spacing w:after="140"/>
      </w:pPr>
      <w:r>
        <w:rPr>
          <w:sz w:val="24"/>
          <w:szCs w:val="24"/>
        </w:rPr>
        <w:t xml:space="preserve">Immatriculation traitée comme une fin au lieu d’un début.</w:t>
      </w:r>
    </w:p>
    <w:p>
      <w:pPr>
        <w:spacing w:after="140"/>
      </w:pPr>
      <w:r>
        <w:rPr>
          <w:sz w:val="24"/>
          <w:szCs w:val="24"/>
        </w:rPr>
        <w:t xml:space="preserve">Utiliser Bsouria après la constitution</w:t>
      </w:r>
    </w:p>
    <w:p>
      <w:pPr>
        <w:spacing w:after="140"/>
      </w:pPr>
      <w:r>
        <w:rPr>
          <w:sz w:val="24"/>
          <w:szCs w:val="24"/>
        </w:rPr>
        <w:t xml:space="preserve">Créez une fiche dans l’Annuaire des entreprises, comparez les prestataires et sociétés, puis publiez une opportunité précise pour chercher distributeur, investisseur, salarié ou fournisseur. Consultez les guides sur commerce, fiscalité, immobilier, financement et vérification.</w:t>
      </w:r>
    </w:p>
    <w:p>
      <w:pPr>
        <w:spacing w:after="140"/>
      </w:pPr>
      <w:r>
        <w:rPr>
          <w:sz w:val="24"/>
          <w:szCs w:val="24"/>
        </w:rPr>
        <w:t xml:space="preserve">Bsouria facilite la découverte ; la vérification indépendante reste nécessaire.</w:t>
      </w:r>
    </w:p>
    <w:p>
      <w:pPr>
        <w:spacing w:after="140"/>
      </w:pPr>
      <w:r>
        <w:rPr>
          <w:sz w:val="24"/>
          <w:szCs w:val="24"/>
        </w:rPr>
        <w:t xml:space="preserve">Sources officielles et institutionnelles</w:t>
      </w:r>
    </w:p>
    <w:p>
      <w:pPr>
        <w:spacing w:after="140"/>
      </w:pPr>
      <w:r>
        <w:rPr>
          <w:sz w:val="24"/>
          <w:szCs w:val="24"/>
        </w:rPr>
        <w:t xml:space="preserve">Constitution électronique des sociétés – SANA, 7 juillet 2026</w:t>
      </w:r>
    </w:p>
    <w:p>
      <w:pPr>
        <w:spacing w:after="140"/>
      </w:pPr>
      <w:r>
        <w:rPr>
          <w:sz w:val="24"/>
          <w:szCs w:val="24"/>
        </w:rPr>
        <w:t xml:space="preserve">Uniformisation des procédures – SANA, 13 juillet 2026</w:t>
      </w:r>
    </w:p>
    <w:p>
      <w:pPr>
        <w:spacing w:after="140"/>
      </w:pPr>
      <w:r>
        <w:rPr>
          <w:sz w:val="24"/>
          <w:szCs w:val="24"/>
        </w:rPr>
        <w:t xml:space="preserve">1 846 nouvelles sociétés – SANA, 24 mai 2026</w:t>
      </w:r>
    </w:p>
    <w:p>
      <w:pPr>
        <w:spacing w:after="140"/>
      </w:pPr>
      <w:r>
        <w:rPr>
          <w:sz w:val="24"/>
          <w:szCs w:val="24"/>
        </w:rPr>
        <w:t xml:space="preserve">Circulaire sur les activités du registre – SANA, 28 mars 2026</w:t>
      </w:r>
    </w:p>
    <w:p>
      <w:pPr>
        <w:spacing w:after="140"/>
      </w:pPr>
      <w:r>
        <w:rPr>
          <w:sz w:val="24"/>
          <w:szCs w:val="24"/>
        </w:rPr>
        <w:t xml:space="preserve">Agence syrienne de l’investissement</w:t>
      </w:r>
    </w:p>
    <w:p>
      <w:pPr>
        <w:spacing w:after="140"/>
      </w:pPr>
      <w:r>
        <w:rPr>
          <w:sz w:val="24"/>
          <w:szCs w:val="24"/>
        </w:rPr>
        <w:t xml:space="preserve">Banque mondiale – Syrie</w:t>
      </w:r>
    </w:p>
    <w:p>
      <w:pPr>
        <w:spacing w:after="140"/>
      </w:pPr>
      <w:r>
        <w:rPr>
          <w:sz w:val="24"/>
          <w:szCs w:val="24"/>
        </w:rPr>
        <w:t xml:space="preserve">UNCTAD – politique d’investissement de la Syrie</w:t>
      </w:r>
    </w:p>
    <w:p>
      <w:pPr>
        <w:spacing w:after="140"/>
      </w:pPr>
      <w:r>
        <w:rPr>
          <w:sz w:val="24"/>
          <w:szCs w:val="24"/>
        </w:rPr>
        <w:t xml:space="preserve">FATF – bénéficiaires effectifs</w:t>
      </w:r>
    </w:p>
    <w:p>
      <w:pPr>
        <w:spacing w:after="140"/>
      </w:pPr>
      <w:r>
        <w:rPr>
          <w:sz w:val="24"/>
          <w:szCs w:val="24"/>
        </w:rPr>
        <w:t xml:space="preserve">Questions fréquentes</w:t>
      </w:r>
    </w:p>
    <w:p>
      <w:pPr>
        <w:spacing w:after="140"/>
      </w:pPr>
      <w:r>
        <w:rPr>
          <w:sz w:val="24"/>
          <w:szCs w:val="24"/>
        </w:rPr>
        <w:t xml:space="preserve">Ces réponses sont générales ; la solution dépend de la forme, de l’activité, du gouvernorat, de la propriété et des instructions en vigueur.</w:t>
      </w:r>
    </w:p>
    <w:p>
      <w:pPr>
        <w:spacing w:after="140"/>
      </w:pPr>
      <w:r>
        <w:rPr>
          <w:sz w:val="24"/>
          <w:szCs w:val="24"/>
        </w:rPr>
        <w:t xml:space="preserve">Conclusion</w:t>
      </w:r>
    </w:p>
    <w:p>
      <w:pPr>
        <w:spacing w:after="140"/>
      </w:pPr>
      <w:r>
        <w:rPr>
          <w:sz w:val="24"/>
          <w:szCs w:val="24"/>
        </w:rPr>
        <w:t xml:space="preserve">Une entreprise solide résout avant le dépôt les questions que le formulaire ne pose pas : pouvoir, financement, licences, comptabilité, sortie et conflit. Choisissez la forme après analyse de la responsabilité, écrivez l’accord des associés, séparez les fonds privés, complétez les agréments et installez la discipline contractuelle et comptable dès le premier jour.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Créer une entreprise en Syrie en 2026 : de l’idée à l’exploitation</dc:title>
  <dc:creator>Bsouria Editorial</dc:creator>
  <cp:lastModifiedBy>Bsouria</cp:lastModifiedBy>
  <dcterms:created xsi:type="dcterms:W3CDTF">2026-07-31T02:22:55Z</dcterms:created>
</cp:coreProperties>
</file>