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Comment chiffrer une opération d’import-export avec la Syrie en 2026 ?</w:t>
      </w:r>
    </w:p>
    <w:p>
      <w:pPr/>
      <w:r>
        <w:rPr>
          <w:i/>
          <w:color w:val="64736B"/>
        </w:rPr>
        <w:t>Ander · 2026-07-29</w:t>
      </w:r>
    </w:p>
    <w:p>
      <w:pPr>
        <w:spacing w:after="220"/>
      </w:pPr>
      <w:r>
        <w:rPr>
          <w:i/>
        </w:rPr>
        <w:t>Guide du coût rendu, Incoterms, fret, SH, change et rentabilité.</w:t>
      </w:r>
    </w:p>
    <w:p>
      <w:pPr>
        <w:spacing w:after="140"/>
      </w:pPr>
      <w:r>
        <w:rPr>
          <w:sz w:val="24"/>
          <w:szCs w:val="24"/>
        </w:rPr>
        <w:t xml:space="preserve">Cet article est un guide détaillé, rédigé dans un langage humain, pour les entreprises qui travaillent en Syrie ou avec le marché syrien. Il ne se contente pas de définir des concepts : chaque règle est reliée à un responsable, une preuve, une date et un résultat mesurable. Même dans une petite structure, une décision laissée à la mémoire peut devenir une perte, un retard ou un risque de conformité.</w:t>
      </w:r>
    </w:p>
    <w:p>
      <w:pPr>
        <w:spacing w:after="140"/>
      </w:pPr>
      <w:r>
        <w:rPr>
          <w:sz w:val="24"/>
          <w:szCs w:val="24"/>
        </w:rPr>
        <w:t xml:space="preserve">Note importante : Les règles bancaires, fiscales, douanières, de sanctions et de licence peuvent évoluer. Confirmez chaque opération importante auprès des sources officielles et d’un professionnel compétent.</w:t>
      </w:r>
    </w:p>
    <w:p>
      <w:pPr>
        <w:spacing w:after="140"/>
      </w:pPr>
      <w:r>
        <w:rPr>
          <w:sz w:val="24"/>
          <w:szCs w:val="24"/>
        </w:rPr>
        <w:t xml:space="preserve">Prix, coût et trésorerie</w:t>
      </w:r>
    </w:p>
    <w:p>
      <w:pPr>
        <w:spacing w:after="140"/>
      </w:pPr>
      <w:r>
        <w:rPr>
          <w:sz w:val="24"/>
          <w:szCs w:val="24"/>
        </w:rPr>
        <w:t xml:space="preserve">Cette section porte sur Séparez prix d’achat et coût rendu..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Cartographiez la trésorerie.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Le lieu nommé</w:t>
      </w:r>
    </w:p>
    <w:p>
      <w:pPr>
        <w:spacing w:after="140"/>
      </w:pPr>
      <w:r>
        <w:rPr>
          <w:sz w:val="24"/>
          <w:szCs w:val="24"/>
        </w:rPr>
        <w:t xml:space="preserve">Cette section porte sur Nommez le lieu et le périmètre..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Mentionnez Incoterms 2020.</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Choisir Incoterms</w:t>
      </w:r>
    </w:p>
    <w:p>
      <w:pPr>
        <w:spacing w:after="140"/>
      </w:pPr>
      <w:r>
        <w:rPr>
          <w:sz w:val="24"/>
          <w:szCs w:val="24"/>
        </w:rPr>
        <w:t xml:space="preserve">Cette section porte sur Répartissez transport, risque et douane..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Vérifiez la capacité juridique.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La feuille de coût rendu</w:t>
      </w:r>
    </w:p>
    <w:p>
      <w:pPr>
        <w:spacing w:after="140"/>
      </w:pPr>
      <w:r>
        <w:rPr>
          <w:sz w:val="24"/>
          <w:szCs w:val="24"/>
        </w:rPr>
        <w:t xml:space="preserve">Cette section porte sur Donnez source et date à chaque coût..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Ajoutez un scénario de stress.</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Coût unitaire réel</w:t>
      </w:r>
    </w:p>
    <w:p>
      <w:pPr>
        <w:spacing w:after="140"/>
      </w:pPr>
      <w:r>
        <w:rPr>
          <w:sz w:val="24"/>
          <w:szCs w:val="24"/>
        </w:rPr>
        <w:t xml:space="preserve">Cette section porte sur Utilisez la quantité nette vendable..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Répartissez les coûts communs.</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Marge et majoration</w:t>
      </w:r>
    </w:p>
    <w:p>
      <w:pPr>
        <w:spacing w:after="140"/>
      </w:pPr>
      <w:r>
        <w:rPr>
          <w:sz w:val="24"/>
          <w:szCs w:val="24"/>
        </w:rPr>
        <w:t xml:space="preserve">Cette section porte sur Distinguez marge et majoration..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Fixez un seuil net.</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Le cycle de trésorerie</w:t>
      </w:r>
    </w:p>
    <w:p>
      <w:pPr>
        <w:spacing w:after="140"/>
      </w:pPr>
      <w:r>
        <w:rPr>
          <w:sz w:val="24"/>
          <w:szCs w:val="24"/>
        </w:rPr>
        <w:t xml:space="preserve">Cette section porte sur Calculez le déficit maximal..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Testez le retard.</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Risque de change</w:t>
      </w:r>
    </w:p>
    <w:p>
      <w:pPr>
        <w:spacing w:after="140"/>
      </w:pPr>
      <w:r>
        <w:rPr>
          <w:sz w:val="24"/>
          <w:szCs w:val="24"/>
        </w:rPr>
        <w:t xml:space="preserve">Cette section porte sur Utilisez validité et formule d’ajustement..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Documentez change et frais.</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Le devis de fret complet</w:t>
      </w:r>
    </w:p>
    <w:p>
      <w:pPr>
        <w:spacing w:after="140"/>
      </w:pPr>
      <w:r>
        <w:rPr>
          <w:sz w:val="24"/>
          <w:szCs w:val="24"/>
        </w:rPr>
        <w:t xml:space="preserve">Cette section porte sur Demandez frais de destination et attente..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Notez la franchise.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Assurance et sinistre</w:t>
      </w:r>
    </w:p>
    <w:p>
      <w:pPr>
        <w:spacing w:after="140"/>
      </w:pPr>
      <w:r>
        <w:rPr>
          <w:sz w:val="24"/>
          <w:szCs w:val="24"/>
        </w:rPr>
        <w:t xml:space="preserve">Cette section porte sur Photographiez chargement et scellés..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Lisez le délai de notification.</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Classement SH</w:t>
      </w:r>
    </w:p>
    <w:p>
      <w:pPr>
        <w:spacing w:after="140"/>
      </w:pPr>
      <w:r>
        <w:rPr>
          <w:sz w:val="24"/>
          <w:szCs w:val="24"/>
        </w:rPr>
        <w:t xml:space="preserve">Cette section porte sur Décrivez matière et fonction..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Ne choisissez pas pour réduire le droit.</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Mesures non tarifaires</w:t>
      </w:r>
    </w:p>
    <w:p>
      <w:pPr>
        <w:spacing w:after="140"/>
      </w:pPr>
      <w:r>
        <w:rPr>
          <w:sz w:val="24"/>
          <w:szCs w:val="24"/>
        </w:rPr>
        <w:t xml:space="preserve">Cette section porte sur Vérifiez étiquette et norme avant production..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Ajoutez le coût des tests.</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Mode de paiement</w:t>
      </w:r>
    </w:p>
    <w:p>
      <w:pPr>
        <w:spacing w:after="140"/>
      </w:pPr>
      <w:r>
        <w:rPr>
          <w:sz w:val="24"/>
          <w:szCs w:val="24"/>
        </w:rPr>
        <w:t xml:space="preserve">Cette section porte sur Vérifiez conditions et capacité bancaire..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Revoyez les documents à l’avance.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Offre et contrat</w:t>
      </w:r>
    </w:p>
    <w:p>
      <w:pPr>
        <w:spacing w:after="140"/>
      </w:pPr>
      <w:r>
        <w:rPr>
          <w:sz w:val="24"/>
          <w:szCs w:val="24"/>
        </w:rPr>
        <w:t xml:space="preserve">Cette section porte sur Précisez portée et validité..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Traitez inspection et défauts.</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Test de scénarios</w:t>
      </w:r>
    </w:p>
    <w:p>
      <w:pPr>
        <w:spacing w:after="140"/>
      </w:pPr>
      <w:r>
        <w:rPr>
          <w:sz w:val="24"/>
          <w:szCs w:val="24"/>
        </w:rPr>
        <w:t xml:space="preserve">Cette section porte sur Construisez base et stress..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Définissez une règle d’arrêt.</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L’expédition pilote</w:t>
      </w:r>
    </w:p>
    <w:p>
      <w:pPr>
        <w:spacing w:after="140"/>
      </w:pPr>
      <w:r>
        <w:rPr>
          <w:sz w:val="24"/>
          <w:szCs w:val="24"/>
        </w:rPr>
        <w:t xml:space="preserve">Cette section porte sur Mesurez coût, vente et encaissement..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N’augmentez pas avant validation.</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Décision exportateur et importateur</w:t>
      </w:r>
    </w:p>
    <w:p>
      <w:pPr>
        <w:spacing w:after="140"/>
      </w:pPr>
      <w:r>
        <w:rPr>
          <w:sz w:val="24"/>
          <w:szCs w:val="24"/>
        </w:rPr>
        <w:t xml:space="preserve">Cette section porte sur Calculez depuis le prix du marché..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Mesurez la rotation du stock.</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Conformité et itinéraire</w:t>
      </w:r>
    </w:p>
    <w:p>
      <w:pPr>
        <w:spacing w:after="140"/>
      </w:pPr>
      <w:r>
        <w:rPr>
          <w:sz w:val="24"/>
          <w:szCs w:val="24"/>
        </w:rPr>
        <w:t xml:space="preserve">Cette section porte sur Vérifiez parties, produit et usage final..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Choisissez une route transparente.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Base historique des coûts</w:t>
      </w:r>
    </w:p>
    <w:p>
      <w:pPr>
        <w:spacing w:after="140"/>
      </w:pPr>
      <w:r>
        <w:rPr>
          <w:sz w:val="24"/>
          <w:szCs w:val="24"/>
        </w:rPr>
        <w:t xml:space="preserve">Cette section porte sur storing estimates and actual freight, clearance and time by route.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Créez un formulaire simple et désignez un responsable.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Sélection du fournisseur</w:t>
      </w:r>
    </w:p>
    <w:p>
      <w:pPr>
        <w:spacing w:after="140"/>
      </w:pPr>
      <w:r>
        <w:rPr>
          <w:sz w:val="24"/>
          <w:szCs w:val="24"/>
        </w:rPr>
        <w:t xml:space="preserve">Cette section porte sur comparing MOQ, lead time, quality, documents, payment and remedies.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Créez un formulaire simple et désignez un responsable.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Sélection de l’acheteur</w:t>
      </w:r>
    </w:p>
    <w:p>
      <w:pPr>
        <w:spacing w:after="140"/>
      </w:pPr>
      <w:r>
        <w:rPr>
          <w:sz w:val="24"/>
          <w:szCs w:val="24"/>
        </w:rPr>
        <w:t xml:space="preserve">Cette section porte sur assessing sales channel, credit and collection rather than order size alone.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Créez un formulaire simple et désignez un responsable.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Revue après expédition</w:t>
      </w:r>
    </w:p>
    <w:p>
      <w:pPr>
        <w:spacing w:after="140"/>
      </w:pPr>
      <w:r>
        <w:rPr>
          <w:sz w:val="24"/>
          <w:szCs w:val="24"/>
        </w:rPr>
        <w:t xml:space="preserve">Cette section porte sur bringing supplier, carrier, broker, sales and finance together to compare plan and actual.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Créez un formulaire simple et désignez un responsable.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Questions fréquentes</w:t>
      </w:r>
    </w:p>
    <w:p>
      <w:pPr>
        <w:spacing w:after="140"/>
      </w:pPr>
      <w:r>
        <w:rPr>
          <w:sz w:val="24"/>
          <w:szCs w:val="24"/>
        </w:rPr>
        <w:t xml:space="preserve">Faut-il un logiciel coûteux ? Non. Il faut d’abord des règles claires, une numérotation, des responsabilités et un rapprochement régulier.</w:t>
      </w:r>
    </w:p>
    <w:p>
      <w:pPr>
        <w:spacing w:after="140"/>
      </w:pPr>
      <w:r>
        <w:rPr>
          <w:sz w:val="24"/>
          <w:szCs w:val="24"/>
        </w:rPr>
        <w:t xml:space="preserve">Une très petite entreprise peut-elle appliquer la méthode ? Oui. Les formulaires peuvent être plus courts, mais la preuve, la date, le responsable et la revue doivent rester.</w:t>
      </w:r>
    </w:p>
    <w:p>
      <w:pPr>
        <w:spacing w:after="140"/>
      </w:pPr>
      <w:r>
        <w:rPr>
          <w:sz w:val="24"/>
          <w:szCs w:val="24"/>
        </w:rPr>
        <w:t xml:space="preserve">Quand faut-il consulter un expert ? Pour un montant important, un contrat complexe, un contrôle fiscal, un classement douanier, une sanction ou un paiement transfrontalier.</w:t>
      </w:r>
    </w:p>
    <w:p>
      <w:pPr>
        <w:spacing w:after="140"/>
      </w:pPr>
      <w:r>
        <w:rPr>
          <w:sz w:val="24"/>
          <w:szCs w:val="24"/>
        </w:rPr>
        <w:t xml:space="preserve">Comment mesurer l’amélioration ? Comparez délai, retards, écarts, erreurs, retours, déficit de trésorerie ou dépassement de coût avant et après.</w:t>
      </w:r>
    </w:p>
    <w:p>
      <w:pPr>
        <w:spacing w:after="140"/>
      </w:pPr>
      <w:r>
        <w:rPr>
          <w:sz w:val="24"/>
          <w:szCs w:val="24"/>
        </w:rPr>
        <w:t xml:space="preserve">Sources et liens officiels</w:t>
      </w:r>
    </w:p>
    <w:p>
      <w:pPr>
        <w:spacing w:after="140"/>
      </w:pPr>
      <w:r>
        <w:rPr>
          <w:sz w:val="24"/>
          <w:szCs w:val="24"/>
        </w:rPr>
        <w:t xml:space="preserve">ICC Incoterms 2020</w:t>
      </w:r>
    </w:p>
    <w:p>
      <w:pPr>
        <w:spacing w:after="140"/>
      </w:pPr>
      <w:r>
        <w:rPr>
          <w:sz w:val="24"/>
          <w:szCs w:val="24"/>
        </w:rPr>
        <w:t xml:space="preserve">World Customs Organization HS</w:t>
      </w:r>
    </w:p>
    <w:p>
      <w:pPr>
        <w:spacing w:after="140"/>
      </w:pPr>
      <w:r>
        <w:rPr>
          <w:sz w:val="24"/>
          <w:szCs w:val="24"/>
        </w:rPr>
        <w:t xml:space="preserve">UNCTAD trade data</w:t>
      </w:r>
    </w:p>
    <w:p>
      <w:pPr>
        <w:spacing w:after="140"/>
      </w:pPr>
      <w:r>
        <w:rPr>
          <w:sz w:val="24"/>
          <w:szCs w:val="24"/>
        </w:rPr>
        <w:t xml:space="preserve">UNCTAD non-tariff measures</w:t>
      </w:r>
    </w:p>
    <w:p>
      <w:pPr>
        <w:spacing w:after="140"/>
      </w:pPr>
      <w:r>
        <w:rPr>
          <w:sz w:val="24"/>
          <w:szCs w:val="24"/>
        </w:rPr>
        <w:t xml:space="preserve">UK Syria business guidance</w:t>
      </w:r>
    </w:p>
    <w:p>
      <w:pPr>
        <w:spacing w:after="140"/>
      </w:pPr>
      <w:r>
        <w:rPr>
          <w:sz w:val="24"/>
          <w:szCs w:val="24"/>
        </w:rPr>
        <w:t xml:space="preserve">Conclusion</w:t>
      </w:r>
    </w:p>
    <w:p>
      <w:pPr>
        <w:spacing w:after="140"/>
      </w:pPr>
      <w:r>
        <w:rPr>
          <w:sz w:val="24"/>
          <w:szCs w:val="24"/>
        </w:rPr>
        <w:t xml:space="preserve">Un système solide ne doit pas être parfait. Il doit être visible, explicable et améliorable. Lorsque décision, preuve, responsabilité et mesure sont réunies, la croissance devient moins chaotique et plus durable.</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Comment chiffrer une opération d’import-export avec la Syrie en 2026 ?</dc:title>
  <dc:creator>Ander</dc:creator>
  <cp:lastModifiedBy>Bsouria</cp:lastModifiedBy>
  <dcterms:created xsi:type="dcterms:W3CDTF">2026-07-31T02:21:07Z</dcterms:created>
</cp:coreProperties>
</file>