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Comment chiffrer une opération d’import-export avec la Syrie en 2026 ?</w:t>
      </w:r>
    </w:p>
    <w:p>
      <w:pPr/>
      <w:r>
        <w:rPr>
          <w:i/>
          <w:color w:val="64736B"/>
        </w:rPr>
        <w:t>Ander · 2026-07-29</w:t>
      </w:r>
    </w:p>
    <w:p>
      <w:pPr>
        <w:spacing w:after="220"/>
      </w:pPr>
      <w:r>
        <w:rPr>
          <w:i/>
        </w:rPr>
        <w:t>Guide du coût rendu, Incoterms, fret, SH, change et rentabilité.</w:t>
      </w:r>
    </w:p>
    <w:p>
      <w:pPr>
        <w:spacing w:after="140"/>
      </w:pPr>
      <w:r>
        <w:rPr>
          <w:sz w:val="24"/>
          <w:szCs w:val="24"/>
        </w:rPr>
        <w:t xml:space="preserve">Cet article est un guide détaillé, rédigé dans un langage humain, pour les entreprises qui travaillent en Syrie ou avec le marché syrien. Il ne se contente pas de définir des concepts : chaque règle est reliée à un responsable, une preuve, une date et un résultat mesurable. Même dans une petite structure, une décision laissée à la mémoire peut devenir une perte, un retard ou un risque de conformité.</w:t>
      </w:r>
    </w:p>
    <w:p>
      <w:pPr>
        <w:spacing w:after="140"/>
      </w:pPr>
      <w:r>
        <w:rPr>
          <w:sz w:val="24"/>
          <w:szCs w:val="24"/>
        </w:rPr>
        <w:t xml:space="preserve">Note importante : Les règles bancaires, fiscales, douanières, de sanctions et de licence peuvent évoluer. Confirmez chaque opération importante auprès des sources officielles et d’un professionnel compétent.</w:t>
      </w:r>
    </w:p>
    <w:p>
      <w:pPr>
        <w:spacing w:after="140"/>
      </w:pPr>
      <w:r>
        <w:rPr>
          <w:sz w:val="24"/>
          <w:szCs w:val="24"/>
        </w:rPr>
        <w:t xml:space="preserve">Prix, coût et trésorerie</w:t>
      </w:r>
    </w:p>
    <w:p>
      <w:pPr>
        <w:spacing w:after="140"/>
      </w:pPr>
      <w:r>
        <w:rPr>
          <w:sz w:val="24"/>
          <w:szCs w:val="24"/>
        </w:rPr>
        <w:t xml:space="preserve">Cette section porte sur Séparez prix d’achat et coût rendu..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Cartographiez la trésorerie.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Le lieu nommé</w:t>
      </w:r>
    </w:p>
    <w:p>
      <w:pPr>
        <w:spacing w:after="140"/>
      </w:pPr>
      <w:r>
        <w:rPr>
          <w:sz w:val="24"/>
          <w:szCs w:val="24"/>
        </w:rPr>
        <w:t xml:space="preserve">Cette section porte sur Nommez le lieu et le périmètre..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Mentionnez Incoterms 2020.</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Choisir Incoterms</w:t>
      </w:r>
    </w:p>
    <w:p>
      <w:pPr>
        <w:spacing w:after="140"/>
      </w:pPr>
      <w:r>
        <w:rPr>
          <w:sz w:val="24"/>
          <w:szCs w:val="24"/>
        </w:rPr>
        <w:t xml:space="preserve">Cette section porte sur Répartissez transport, risque et douane..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Vérifiez la capacité juridique.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La feuille de coût rendu</w:t>
      </w:r>
    </w:p>
    <w:p>
      <w:pPr>
        <w:spacing w:after="140"/>
      </w:pPr>
      <w:r>
        <w:rPr>
          <w:sz w:val="24"/>
          <w:szCs w:val="24"/>
        </w:rPr>
        <w:t xml:space="preserve">Cette section porte sur Donnez source et date à chaque coût..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Ajoutez un scénario de stress.</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Coût unitaire réel</w:t>
      </w:r>
    </w:p>
    <w:p>
      <w:pPr>
        <w:spacing w:after="140"/>
      </w:pPr>
      <w:r>
        <w:rPr>
          <w:sz w:val="24"/>
          <w:szCs w:val="24"/>
        </w:rPr>
        <w:t xml:space="preserve">Cette section porte sur Utilisez la quantité nette vendable..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Répartissez les coûts communs.</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Marge et majoration</w:t>
      </w:r>
    </w:p>
    <w:p>
      <w:pPr>
        <w:spacing w:after="140"/>
      </w:pPr>
      <w:r>
        <w:rPr>
          <w:sz w:val="24"/>
          <w:szCs w:val="24"/>
        </w:rPr>
        <w:t xml:space="preserve">Cette section porte sur Distinguez marge et majoration..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Fixez un seuil net.</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Le cycle de trésorerie</w:t>
      </w:r>
    </w:p>
    <w:p>
      <w:pPr>
        <w:spacing w:after="140"/>
      </w:pPr>
      <w:r>
        <w:rPr>
          <w:sz w:val="24"/>
          <w:szCs w:val="24"/>
        </w:rPr>
        <w:t xml:space="preserve">Cette section porte sur Calculez le déficit maximal..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Testez le retard.</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Risque de change</w:t>
      </w:r>
    </w:p>
    <w:p>
      <w:pPr>
        <w:spacing w:after="140"/>
      </w:pPr>
      <w:r>
        <w:rPr>
          <w:sz w:val="24"/>
          <w:szCs w:val="24"/>
        </w:rPr>
        <w:t xml:space="preserve">Cette section porte sur Utilisez validité et formule d’ajustement..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Documentez change et frais.</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Le devis de fret complet</w:t>
      </w:r>
    </w:p>
    <w:p>
      <w:pPr>
        <w:spacing w:after="140"/>
      </w:pPr>
      <w:r>
        <w:rPr>
          <w:sz w:val="24"/>
          <w:szCs w:val="24"/>
        </w:rPr>
        <w:t xml:space="preserve">Cette section porte sur Demandez frais de destination et attente..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Notez la franchise.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Assurance et sinistre</w:t>
      </w:r>
    </w:p>
    <w:p>
      <w:pPr>
        <w:spacing w:after="140"/>
      </w:pPr>
      <w:r>
        <w:rPr>
          <w:sz w:val="24"/>
          <w:szCs w:val="24"/>
        </w:rPr>
        <w:t xml:space="preserve">Cette section porte sur Photographiez chargement et scellés..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Lisez le délai de notification.</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Classement SH</w:t>
      </w:r>
    </w:p>
    <w:p>
      <w:pPr>
        <w:spacing w:after="140"/>
      </w:pPr>
      <w:r>
        <w:rPr>
          <w:sz w:val="24"/>
          <w:szCs w:val="24"/>
        </w:rPr>
        <w:t xml:space="preserve">Cette section porte sur Décrivez matière et fonction..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Ne choisissez pas pour réduire le droit.</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Mesures non tarifaires</w:t>
      </w:r>
    </w:p>
    <w:p>
      <w:pPr>
        <w:spacing w:after="140"/>
      </w:pPr>
      <w:r>
        <w:rPr>
          <w:sz w:val="24"/>
          <w:szCs w:val="24"/>
        </w:rPr>
        <w:t xml:space="preserve">Cette section porte sur Vérifiez étiquette et norme avant production..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Ajoutez le coût des tests.</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Mode de paiement</w:t>
      </w:r>
    </w:p>
    <w:p>
      <w:pPr>
        <w:spacing w:after="140"/>
      </w:pPr>
      <w:r>
        <w:rPr>
          <w:sz w:val="24"/>
          <w:szCs w:val="24"/>
        </w:rPr>
        <w:t xml:space="preserve">Cette section porte sur Vérifiez conditions et capacité bancaire..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Revoyez les documents à l’avance.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Offre et contrat</w:t>
      </w:r>
    </w:p>
    <w:p>
      <w:pPr>
        <w:spacing w:after="140"/>
      </w:pPr>
      <w:r>
        <w:rPr>
          <w:sz w:val="24"/>
          <w:szCs w:val="24"/>
        </w:rPr>
        <w:t xml:space="preserve">Cette section porte sur Précisez portée et validité..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Traitez inspection et défauts.</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Test de scénarios</w:t>
      </w:r>
    </w:p>
    <w:p>
      <w:pPr>
        <w:spacing w:after="140"/>
      </w:pPr>
      <w:r>
        <w:rPr>
          <w:sz w:val="24"/>
          <w:szCs w:val="24"/>
        </w:rPr>
        <w:t xml:space="preserve">Cette section porte sur Construisez base et stress..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Définissez une règle d’arrêt.</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L’expédition pilote</w:t>
      </w:r>
    </w:p>
    <w:p>
      <w:pPr>
        <w:spacing w:after="140"/>
      </w:pPr>
      <w:r>
        <w:rPr>
          <w:sz w:val="24"/>
          <w:szCs w:val="24"/>
        </w:rPr>
        <w:t xml:space="preserve">Cette section porte sur Mesurez coût, vente et encaissement..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N’augmentez pas avant validation.</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Décision exportateur et importateur</w:t>
      </w:r>
    </w:p>
    <w:p>
      <w:pPr>
        <w:spacing w:after="140"/>
      </w:pPr>
      <w:r>
        <w:rPr>
          <w:sz w:val="24"/>
          <w:szCs w:val="24"/>
        </w:rPr>
        <w:t xml:space="preserve">Cette section porte sur Calculez depuis le prix du marché..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Mesurez la rotation du stock.</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Conformité et itinéraire</w:t>
      </w:r>
    </w:p>
    <w:p>
      <w:pPr>
        <w:spacing w:after="140"/>
      </w:pPr>
      <w:r>
        <w:rPr>
          <w:sz w:val="24"/>
          <w:szCs w:val="24"/>
        </w:rPr>
        <w:t xml:space="preserve">Cette section porte sur Vérifiez parties, produit et usage final..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Choisissez une route transparente.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Base historique des coûts</w:t>
      </w:r>
    </w:p>
    <w:p>
      <w:pPr>
        <w:spacing w:after="140"/>
      </w:pPr>
      <w:r>
        <w:rPr>
          <w:sz w:val="24"/>
          <w:szCs w:val="24"/>
        </w:rPr>
        <w:t xml:space="preserve">Cette section porte sur storing estimates and actual freight, clearance and time by route.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Créez un formulaire simple et désignez un responsable.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Sélection du fournisseur</w:t>
      </w:r>
    </w:p>
    <w:p>
      <w:pPr>
        <w:spacing w:after="140"/>
      </w:pPr>
      <w:r>
        <w:rPr>
          <w:sz w:val="24"/>
          <w:szCs w:val="24"/>
        </w:rPr>
        <w:t xml:space="preserve">Cette section porte sur comparing MOQ, lead time, quality, documents, payment and remedies.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Créez un formulaire simple et désignez un responsable.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Sélection de l’acheteur</w:t>
      </w:r>
    </w:p>
    <w:p>
      <w:pPr>
        <w:spacing w:after="140"/>
      </w:pPr>
      <w:r>
        <w:rPr>
          <w:sz w:val="24"/>
          <w:szCs w:val="24"/>
        </w:rPr>
        <w:t xml:space="preserve">Cette section porte sur assessing sales channel, credit and collection rather than order size alone.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Créez un formulaire simple et désignez un responsable.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Revue après expédition</w:t>
      </w:r>
    </w:p>
    <w:p>
      <w:pPr>
        <w:spacing w:after="140"/>
      </w:pPr>
      <w:r>
        <w:rPr>
          <w:sz w:val="24"/>
          <w:szCs w:val="24"/>
        </w:rPr>
        <w:t xml:space="preserve">Cette section porte sur bringing supplier, carrier, broker, sales and finance together to compare plan and actual. Dans le travail quotidien, la faiblesse n’est pas toujours visible immédiatement. Les ventes peuvent sembler bonnes et les dossiers complets alors qu’un écart de trésorerie, de preuve, de délai ou de responsabilité se développe silencieusement. Le principe doit donc devenir une procédure claire, utilisable par une personne identifiée.</w:t>
      </w:r>
    </w:p>
    <w:p>
      <w:pPr>
        <w:spacing w:after="140"/>
      </w:pPr>
      <w:r>
        <w:rPr>
          <w:sz w:val="24"/>
          <w:szCs w:val="24"/>
        </w:rPr>
        <w:t xml:space="preserve">L’erreur la plus fréquente consiste à ne pas laisser de référence, d’approbation ou de document au moment où l’opération se produit. Plusieurs mois plus tard, il devient difficile de reconstruire les faits. Un bon contrôle ne cherche pas à ralentir l’activité ; il permet de prendre la bonne décision au bon moment et de rendre chaque exception compréhensible.</w:t>
      </w:r>
    </w:p>
    <w:p>
      <w:pPr>
        <w:spacing w:after="140"/>
      </w:pPr>
      <w:r>
        <w:rPr>
          <w:sz w:val="24"/>
          <w:szCs w:val="24"/>
        </w:rPr>
        <w:t xml:space="preserve">Créez un formulaire simple et désignez un responsable.</w:t>
      </w:r>
    </w:p>
    <w:p>
      <w:pPr>
        <w:spacing w:after="140"/>
      </w:pPr>
      <w:r>
        <w:rPr>
          <w:sz w:val="24"/>
          <w:szCs w:val="24"/>
        </w:rPr>
        <w:t xml:space="preserve">Désignez un responsable et un remplaçant.</w:t>
      </w:r>
    </w:p>
    <w:p>
      <w:pPr>
        <w:spacing w:after="140"/>
      </w:pPr>
      <w:r>
        <w:rPr>
          <w:sz w:val="24"/>
          <w:szCs w:val="24"/>
        </w:rPr>
        <w:t xml:space="preserve">Conservez preuve, date et numéro d’opération dans le même dossier.</w:t>
      </w:r>
    </w:p>
    <w:p>
      <w:pPr>
        <w:spacing w:after="140"/>
      </w:pPr>
      <w:r>
        <w:rPr>
          <w:sz w:val="24"/>
          <w:szCs w:val="24"/>
        </w:rPr>
        <w:t xml:space="preserve">Testez la procédure pendant deux semaines puis mesurez le résultat.</w:t>
      </w:r>
    </w:p>
    <w:p>
      <w:pPr>
        <w:spacing w:after="140"/>
      </w:pPr>
      <w:r>
        <w:rPr>
          <w:sz w:val="24"/>
          <w:szCs w:val="24"/>
        </w:rPr>
        <w:t xml:space="preserve">Commencez par un petit échantillon de cinq opérations et suivez-les du début à la fin. Notez les attentes, répétitions, informations manquantes et problèmes d’autorisation. Ne mesurez pas seulement le résultat final : identifiez aussi la cause de chaque retard ou différence. L’équipe peut alors corriger le processus plutôt que chercher un responsable individuel.</w:t>
      </w:r>
    </w:p>
    <w:p>
      <w:pPr>
        <w:spacing w:after="140"/>
      </w:pPr>
      <w:r>
        <w:rPr>
          <w:sz w:val="24"/>
          <w:szCs w:val="24"/>
        </w:rPr>
        <w:t xml:space="preserve">À la fin de la semaine, demandez si une nouvelle personne peut comprendre l’opération en consultant uniquement le dossier. Si une longue explication orale reste nécessaire, ajoutez un champ, une liste de contrôle, une approbation ou une preuve. Cette méthode transforme l’expérience personnelle en connaissance durable pour l’entreprise.</w:t>
      </w:r>
    </w:p>
    <w:p>
      <w:pPr>
        <w:spacing w:after="140"/>
      </w:pPr>
      <w:r>
        <w:rPr>
          <w:sz w:val="24"/>
          <w:szCs w:val="24"/>
        </w:rPr>
        <w:t xml:space="preserve">Questions fréquentes</w:t>
      </w:r>
    </w:p>
    <w:p>
      <w:pPr>
        <w:spacing w:after="140"/>
      </w:pPr>
      <w:r>
        <w:rPr>
          <w:sz w:val="24"/>
          <w:szCs w:val="24"/>
        </w:rPr>
        <w:t xml:space="preserve">Faut-il un logiciel coûteux ? Non. Il faut d’abord des règles claires, une numérotation, des responsabilités et un rapprochement régulier.</w:t>
      </w:r>
    </w:p>
    <w:p>
      <w:pPr>
        <w:spacing w:after="140"/>
      </w:pPr>
      <w:r>
        <w:rPr>
          <w:sz w:val="24"/>
          <w:szCs w:val="24"/>
        </w:rPr>
        <w:t xml:space="preserve">Une très petite entreprise peut-elle appliquer la méthode ? Oui. Les formulaires peuvent être plus courts, mais la preuve, la date, le responsable et la revue doivent rester.</w:t>
      </w:r>
    </w:p>
    <w:p>
      <w:pPr>
        <w:spacing w:after="140"/>
      </w:pPr>
      <w:r>
        <w:rPr>
          <w:sz w:val="24"/>
          <w:szCs w:val="24"/>
        </w:rPr>
        <w:t xml:space="preserve">Quand faut-il consulter un expert ? Pour un montant important, un contrat complexe, un contrôle fiscal, un classement douanier, une sanction ou un paiement transfrontalier.</w:t>
      </w:r>
    </w:p>
    <w:p>
      <w:pPr>
        <w:spacing w:after="140"/>
      </w:pPr>
      <w:r>
        <w:rPr>
          <w:sz w:val="24"/>
          <w:szCs w:val="24"/>
        </w:rPr>
        <w:t xml:space="preserve">Comment mesurer l’amélioration ? Comparez délai, retards, écarts, erreurs, retours, déficit de trésorerie ou dépassement de coût avant et après.</w:t>
      </w:r>
    </w:p>
    <w:p>
      <w:pPr>
        <w:spacing w:after="140"/>
      </w:pPr>
      <w:r>
        <w:rPr>
          <w:sz w:val="24"/>
          <w:szCs w:val="24"/>
        </w:rPr>
        <w:t xml:space="preserve">Sources et liens officiels</w:t>
      </w:r>
    </w:p>
    <w:p>
      <w:pPr>
        <w:spacing w:after="140"/>
      </w:pPr>
      <w:r>
        <w:rPr>
          <w:sz w:val="24"/>
          <w:szCs w:val="24"/>
        </w:rPr>
        <w:t xml:space="preserve">ICC Incoterms 2020</w:t>
      </w:r>
    </w:p>
    <w:p>
      <w:pPr>
        <w:spacing w:after="140"/>
      </w:pPr>
      <w:r>
        <w:rPr>
          <w:sz w:val="24"/>
          <w:szCs w:val="24"/>
        </w:rPr>
        <w:t xml:space="preserve">World Customs Organization HS</w:t>
      </w:r>
    </w:p>
    <w:p>
      <w:pPr>
        <w:spacing w:after="140"/>
      </w:pPr>
      <w:r>
        <w:rPr>
          <w:sz w:val="24"/>
          <w:szCs w:val="24"/>
        </w:rPr>
        <w:t xml:space="preserve">UNCTAD trade data</w:t>
      </w:r>
    </w:p>
    <w:p>
      <w:pPr>
        <w:spacing w:after="140"/>
      </w:pPr>
      <w:r>
        <w:rPr>
          <w:sz w:val="24"/>
          <w:szCs w:val="24"/>
        </w:rPr>
        <w:t xml:space="preserve">UNCTAD non-tariff measures</w:t>
      </w:r>
    </w:p>
    <w:p>
      <w:pPr>
        <w:spacing w:after="140"/>
      </w:pPr>
      <w:r>
        <w:rPr>
          <w:sz w:val="24"/>
          <w:szCs w:val="24"/>
        </w:rPr>
        <w:t xml:space="preserve">UK Syria business guidance</w:t>
      </w:r>
    </w:p>
    <w:p>
      <w:pPr>
        <w:spacing w:after="140"/>
      </w:pPr>
      <w:r>
        <w:rPr>
          <w:sz w:val="24"/>
          <w:szCs w:val="24"/>
        </w:rPr>
        <w:t xml:space="preserve">Conclusion</w:t>
      </w:r>
    </w:p>
    <w:p>
      <w:pPr>
        <w:spacing w:after="140"/>
      </w:pPr>
      <w:r>
        <w:rPr>
          <w:sz w:val="24"/>
          <w:szCs w:val="24"/>
        </w:rPr>
        <w:t xml:space="preserve">Un système solide ne doit pas être parfait. Il doit être visible, explicable et améliorable. Lorsque décision, preuve, responsabilité et mesure sont réunies, la croissance devient moins chaotique et plus durable.</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Comment chiffrer une opération d’import-export avec la Syrie en 2026 ?</dc:title>
  <dc:creator>Ander</dc:creator>
  <cp:lastModifiedBy>Bsouria</cp:lastModifiedBy>
  <dcterms:created xsi:type="dcterms:W3CDTF">2026-10-30T17:27:27Z</dcterms:created>
</cp:coreProperties>
</file>