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Comparatif immobilier des villes syriennes 2026 : Damas, Alep, Homs, Lattaquié, Tartous</w:t>
      </w:r>
    </w:p>
    <w:p>
      <w:pPr/>
      <w:r>
        <w:rPr>
          <w:i/>
          <w:color w:val="64736B"/>
        </w:rPr>
        <w:t>Bsouria Editorial Team · 2026-07-28</w:t>
      </w:r>
    </w:p>
    <w:p>
      <w:pPr>
        <w:spacing w:after="220"/>
      </w:pPr>
      <w:r>
        <w:rPr>
          <w:i/>
        </w:rPr>
        <w:t>Comparaison humaine de cinq villes pour logement, location, commerce, rénovation, services et liquidité.</w:t>
      </w:r>
    </w:p>
    <w:p>
      <w:pPr>
        <w:spacing w:after="140"/>
      </w:pPr>
      <w:r>
        <w:rPr>
          <w:sz w:val="24"/>
          <w:szCs w:val="24"/>
        </w:rPr>
        <w:t xml:space="preserve">« Où acheter ? » n’a pas de réponse universelle. Une ville adaptée à une famille ne l’est pas forcément pour un commerce, une rénovation ou une location saisonnière.</w:t>
      </w:r>
    </w:p>
    <w:p>
      <w:pPr>
        <w:spacing w:after="140"/>
      </w:pPr>
      <w:r>
        <w:rPr>
          <w:sz w:val="24"/>
          <w:szCs w:val="24"/>
        </w:rPr>
        <w:t xml:space="preserve">Méthode : pondérez chaque critère de 1 à 5, puis notez le bien précis. Ne notez pas une ville entière avant visite et contrôle du titre.</w:t>
      </w:r>
    </w:p>
    <w:p>
      <w:pPr>
        <w:spacing w:after="140"/>
      </w:pPr>
      <w:r>
        <w:rPr>
          <w:sz w:val="24"/>
          <w:szCs w:val="24"/>
        </w:rPr>
        <w:t xml:space="preserve">Vue rapide</w:t>
      </w:r>
    </w:p>
    <w:p>
      <w:pPr>
        <w:spacing w:after="140"/>
      </w:pPr>
      <w:r>
        <w:rPr>
          <w:sz w:val="24"/>
          <w:szCs w:val="24"/>
        </w:rPr>
        <w:t xml:space="preserve">VillePeut convenirQuestionsDamas et RifServices, emploi, familleTrafic, stationnement, travaux, services périphériquesAlepLogement, commerce, industrie, réhabilitationStructure, registre, travauxHomsPosition centrale, logement, commerce localDommages et services par quartierLattaquiéLittoral, université, services, saisonHumidité, congestion estivaleTartousLittoral, demande locale et vacancesSaisonnalité et micro-localisation</w:t>
      </w:r>
    </w:p>
    <w:p>
      <w:pPr>
        <w:spacing w:after="140"/>
      </w:pPr>
      <w:r>
        <w:rPr>
          <w:sz w:val="24"/>
          <w:szCs w:val="24"/>
        </w:rPr>
        <w:t xml:space="preserve">Pour habiter</w:t>
      </w:r>
    </w:p>
    <w:p>
      <w:pPr>
        <w:spacing w:after="140"/>
      </w:pPr>
      <w:r>
        <w:rPr>
          <w:sz w:val="24"/>
          <w:szCs w:val="24"/>
        </w:rPr>
        <w:t xml:space="preserve">Commencez par travail, écoles, santé, transport, ascenseur, eau, électricité et internet.</w:t>
      </w:r>
    </w:p>
    <w:p>
      <w:pPr>
        <w:spacing w:after="140"/>
      </w:pPr>
      <w:r>
        <w:rPr>
          <w:sz w:val="24"/>
          <w:szCs w:val="24"/>
        </w:rPr>
        <w:t xml:space="preserve">Pour louer</w:t>
      </w:r>
    </w:p>
    <w:p>
      <w:pPr>
        <w:spacing w:after="140"/>
      </w:pPr>
      <w:r>
        <w:rPr>
          <w:sz w:val="24"/>
          <w:szCs w:val="24"/>
        </w:rPr>
        <w:t xml:space="preserve">Définissez le locataire réel de chaque ville et testez le revenu net sous stress.</w:t>
      </w:r>
    </w:p>
    <w:p>
      <w:pPr>
        <w:spacing w:after="140"/>
      </w:pPr>
      <w:r>
        <w:rPr>
          <w:sz w:val="24"/>
          <w:szCs w:val="24"/>
        </w:rPr>
        <w:t xml:space="preserve">Pour rénover et revendre</w:t>
      </w:r>
    </w:p>
    <w:p>
      <w:pPr>
        <w:spacing w:after="140"/>
      </w:pPr>
      <w:r>
        <w:rPr>
          <w:sz w:val="24"/>
          <w:szCs w:val="24"/>
        </w:rPr>
        <w:t xml:space="preserve">Une décote n’est pas un bénéfice. Ajoutez expertise, permis, matériaux, entrepreneur et délai. La Banque mondiale souligne des dommages importants à Alep, Rif Damas et Homs : besoin élevé, mais risque d’exécution.</w:t>
      </w:r>
    </w:p>
    <w:p>
      <w:pPr>
        <w:spacing w:after="140"/>
      </w:pPr>
      <w:r>
        <w:rPr>
          <w:sz w:val="24"/>
          <w:szCs w:val="24"/>
        </w:rPr>
        <w:t xml:space="preserve">Pour le commerce</w:t>
      </w:r>
    </w:p>
    <w:p>
      <w:pPr>
        <w:spacing w:after="140"/>
      </w:pPr>
      <w:r>
        <w:rPr>
          <w:sz w:val="24"/>
          <w:szCs w:val="24"/>
        </w:rPr>
        <w:t xml:space="preserve">Comparez flux, chaîne d’approvisionnement, énergie, stockage, licence et pouvoir d’achat.</w:t>
      </w:r>
    </w:p>
    <w:p>
      <w:pPr>
        <w:spacing w:after="140"/>
      </w:pPr>
      <w:r>
        <w:rPr>
          <w:sz w:val="24"/>
          <w:szCs w:val="24"/>
        </w:rPr>
        <w:t xml:space="preserve">Carte de décision</w:t>
      </w:r>
    </w:p>
    <w:p>
      <w:pPr>
        <w:spacing w:after="140"/>
      </w:pPr>
      <w:r>
        <w:rPr>
          <w:sz w:val="24"/>
          <w:szCs w:val="24"/>
        </w:rPr>
        <w:t xml:space="preserve">Objectifs principal et secondaire.</w:t>
      </w:r>
    </w:p>
    <w:p>
      <w:pPr>
        <w:spacing w:after="140"/>
      </w:pPr>
      <w:r>
        <w:rPr>
          <w:sz w:val="24"/>
          <w:szCs w:val="24"/>
        </w:rPr>
        <w:t xml:space="preserve">Temps de trajet maximal.</w:t>
      </w:r>
    </w:p>
    <w:p>
      <w:pPr>
        <w:spacing w:after="140"/>
      </w:pPr>
      <w:r>
        <w:rPr>
          <w:sz w:val="24"/>
          <w:szCs w:val="24"/>
        </w:rPr>
        <w:t xml:space="preserve">Plafond de travaux.</w:t>
      </w:r>
    </w:p>
    <w:p>
      <w:pPr>
        <w:spacing w:after="140"/>
      </w:pPr>
      <w:r>
        <w:rPr>
          <w:sz w:val="24"/>
          <w:szCs w:val="24"/>
        </w:rPr>
        <w:t xml:space="preserve">Clarté du titre.</w:t>
      </w:r>
    </w:p>
    <w:p>
      <w:pPr>
        <w:spacing w:after="140"/>
      </w:pPr>
      <w:r>
        <w:rPr>
          <w:sz w:val="24"/>
          <w:szCs w:val="24"/>
        </w:rPr>
        <w:t xml:space="preserve">Demande par trois sources.</w:t>
      </w:r>
    </w:p>
    <w:p>
      <w:pPr>
        <w:spacing w:after="140"/>
      </w:pPr>
      <w:r>
        <w:rPr>
          <w:sz w:val="24"/>
          <w:szCs w:val="24"/>
        </w:rPr>
        <w:t xml:space="preserve">Revenu net sous stress.</w:t>
      </w:r>
    </w:p>
    <w:p>
      <w:pPr>
        <w:spacing w:after="140"/>
      </w:pPr>
      <w:r>
        <w:rPr>
          <w:sz w:val="24"/>
          <w:szCs w:val="24"/>
        </w:rPr>
        <w:t xml:space="preserve">Trois biens dans deux villes.</w:t>
      </w:r>
    </w:p>
    <w:p>
      <w:pPr>
        <w:spacing w:after="140"/>
      </w:pPr>
      <w:r>
        <w:rPr>
          <w:sz w:val="24"/>
          <w:szCs w:val="24"/>
        </w:rPr>
        <w:t xml:space="preserve">Contrôle final indépendant.</w:t>
      </w:r>
    </w:p>
    <w:p>
      <w:pPr>
        <w:spacing w:after="140"/>
      </w:pPr>
      <w:r>
        <w:rPr>
          <w:sz w:val="24"/>
          <w:szCs w:val="24"/>
        </w:rPr>
        <w:t xml:space="preserve">Choix humain</w:t>
      </w:r>
    </w:p>
    <w:p>
      <w:pPr>
        <w:spacing w:after="140"/>
      </w:pPr>
      <w:r>
        <w:rPr>
          <w:sz w:val="24"/>
          <w:szCs w:val="24"/>
        </w:rPr>
        <w:t xml:space="preserve">Proximité familiale, sentiment du lieu, capacité de gestion et accès d’urgence sont de vrais critères.</w:t>
      </w:r>
    </w:p>
    <w:p>
      <w:pPr>
        <w:spacing w:after="140"/>
      </w:pPr>
      <w:r>
        <w:rPr>
          <w:sz w:val="24"/>
          <w:szCs w:val="24"/>
        </w:rPr>
        <w:t xml:space="preserve">Ressources</w:t>
      </w:r>
    </w:p>
    <w:p>
      <w:pPr>
        <w:spacing w:after="140"/>
      </w:pPr>
      <w:r>
        <w:rPr>
          <w:sz w:val="24"/>
          <w:szCs w:val="24"/>
        </w:rPr>
        <w:t xml:space="preserve">Évaluation Banque mondiale</w:t>
      </w:r>
    </w:p>
    <w:p>
      <w:pPr>
        <w:spacing w:after="140"/>
      </w:pPr>
      <w:r>
        <w:rPr>
          <w:sz w:val="24"/>
          <w:szCs w:val="24"/>
        </w:rPr>
        <w:t xml:space="preserve">Profil Alep</w:t>
      </w:r>
    </w:p>
    <w:p>
      <w:pPr>
        <w:spacing w:after="140"/>
      </w:pPr>
      <w:r>
        <w:rPr>
          <w:sz w:val="24"/>
          <w:szCs w:val="24"/>
        </w:rPr>
        <w:t xml:space="preserve">Profil Homs</w:t>
      </w:r>
    </w:p>
    <w:p>
      <w:pPr>
        <w:spacing w:after="140"/>
      </w:pPr>
      <w:r>
        <w:rPr>
          <w:sz w:val="24"/>
          <w:szCs w:val="24"/>
        </w:rPr>
        <w:t xml:space="preserve">Statistiques urbaines</w:t>
      </w:r>
    </w:p>
    <w:p>
      <w:pPr>
        <w:spacing w:after="140"/>
      </w:pPr>
      <w:r>
        <w:rPr>
          <w:sz w:val="24"/>
          <w:szCs w:val="24"/>
        </w:rPr>
        <w:t xml:space="preserve">Guides de villes</w:t>
      </w:r>
    </w:p>
    <w:p>
      <w:pPr>
        <w:spacing w:after="140"/>
      </w:pPr>
      <w:r>
        <w:rPr>
          <w:sz w:val="24"/>
          <w:szCs w:val="24"/>
        </w:rPr>
        <w:t xml:space="preserve">Damas</w:t>
      </w:r>
    </w:p>
    <w:p>
      <w:pPr>
        <w:spacing w:after="140"/>
      </w:pPr>
      <w:r>
        <w:rPr>
          <w:sz w:val="24"/>
          <w:szCs w:val="24"/>
        </w:rPr>
        <w:t xml:space="preserve">Alep</w:t>
      </w:r>
    </w:p>
    <w:p>
      <w:pPr>
        <w:spacing w:after="140"/>
      </w:pPr>
      <w:r>
        <w:rPr>
          <w:sz w:val="24"/>
          <w:szCs w:val="24"/>
        </w:rPr>
        <w:t xml:space="preserve">Lattaquié et Tartous</w:t>
      </w:r>
    </w:p>
    <w:p>
      <w:pPr>
        <w:spacing w:after="140"/>
      </w:pPr>
      <w:r>
        <w:rPr>
          <w:sz w:val="24"/>
          <w:szCs w:val="24"/>
        </w:rPr>
        <w:t xml:space="preserve">Guide général</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Comparatif immobilier des villes syriennes 2026 : Damas, Alep, Homs, Lattaquié, Tartous</dc:title>
  <dc:creator>Bsouria Editorial Team</dc:creator>
  <cp:lastModifiedBy>Bsouria</cp:lastModifiedBy>
  <dcterms:created xsi:type="dcterms:W3CDTF">2026-07-31T02:22:54Z</dcterms:created>
</cp:coreProperties>
</file>