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Construire une activité d’import-export avec la Syrie en 2026 : du produit à la première expédition rentable</w:t>
      </w:r>
    </w:p>
    <w:p>
      <w:pPr/>
      <w:r>
        <w:rPr>
          <w:i/>
          <w:color w:val="64736B"/>
        </w:rPr>
        <w:t>Bsouria · 2026-07-29</w:t>
      </w:r>
    </w:p>
    <w:p>
      <w:pPr>
        <w:spacing w:after="220"/>
      </w:pPr>
      <w:r>
        <w:rPr>
          <w:i/>
        </w:rPr>
        <w:t>Guide stratégique pour bâtir une activité import-export avec la Syrie : produit, marché, coûts, partenaires, conformité, financement, pilote et croissance.</w:t>
      </w:r>
    </w:p>
    <w:p>
      <w:pPr>
        <w:spacing w:after="140"/>
      </w:pPr>
      <w:r>
        <w:rPr>
          <w:sz w:val="24"/>
          <w:szCs w:val="24"/>
        </w:rPr>
        <w:t xml:space="preserve">Réaliser une expédition d’import ou d’export n’est pas la même chose que construire une entreprise de commerce international capable de travailler durablement avec la Syrie. Une opération isolée peut réussir grâce à un prix, un contact ou une circonstance favorable. Une activité durable exige une demande mesurable, un marché accessible, des partenaires vérifiés, une marge capable d’absorber les retards, et des systèmes de conformité, qualité, paiement, logistique, vente et recouvrement. Ce guide ne répète pas la liste des documents : il explique comment transformer des transactions ponctuelles en activité structurée et rentable.</w:t>
      </w:r>
    </w:p>
    <w:p>
      <w:pPr>
        <w:spacing w:after="140"/>
      </w:pPr>
      <w:r>
        <w:rPr>
          <w:sz w:val="24"/>
          <w:szCs w:val="24"/>
        </w:rPr>
        <w:t xml:space="preserve">Avertissement : cadre général de planification, non avis juridique, fiscal, bancaire, douanier ou relatif aux sanctions. Obtenez des confirmations écrites avant paiement, contrat ou chargement.</w:t>
      </w:r>
    </w:p>
    <w:p>
      <w:pPr>
        <w:spacing w:after="140"/>
      </w:pPr>
      <w:r>
        <w:rPr>
          <w:sz w:val="24"/>
          <w:szCs w:val="24"/>
        </w:rPr>
        <w:t xml:space="preserve">Pourquoi un nouveau guide ?</w:t>
      </w:r>
    </w:p>
    <w:p>
      <w:pPr>
        <w:spacing w:after="140"/>
      </w:pPr>
      <w:r>
        <w:rPr>
          <w:sz w:val="24"/>
          <w:szCs w:val="24"/>
        </w:rPr>
        <w:t xml:space="preserve">Le classement HS, la facture, la liste de colisage et le certificat d’origine sont indispensables, mais ne corrigent pas un mauvais produit, un stock excessif, une marge insuffisante, un acheteur lent ou une qualité instable. Ce guide commence donc par le modèle économique, le client, le coût complet, le financement, le pilote et la décision d’augmenter ou d’arrêter. Consultez aussi le guide des procédures import-export.</w:t>
      </w:r>
    </w:p>
    <w:p>
      <w:pPr>
        <w:spacing w:after="140"/>
      </w:pPr>
      <w:r>
        <w:rPr>
          <w:sz w:val="24"/>
          <w:szCs w:val="24"/>
        </w:rPr>
        <w:t xml:space="preserve">Contexte commercial en 2026</w:t>
      </w:r>
    </w:p>
    <w:p>
      <w:pPr>
        <w:spacing w:after="140"/>
      </w:pPr>
      <w:r>
        <w:rPr>
          <w:sz w:val="24"/>
          <w:szCs w:val="24"/>
        </w:rPr>
        <w:t xml:space="preserve">La Banque mondiale souligne la rareté des données et l’amélioration progressive de la connectivité extérieure. Le Dialogue du secteur privé syrien 2026 a placé la logistique, les frontières, la douane, le financement du commerce, les chaînes de valeur et l’accès aux marchés au cœur des débats. Les États-Unis ont mis fin au programme global de sanctions et l’UE a levé les sanctions économiques générales, tout en conservant des restrictions ciblées et de sécurité. Les banques et transporteurs gardent leurs propres politiques.</w:t>
      </w:r>
    </w:p>
    <w:p>
      <w:pPr>
        <w:spacing w:after="140"/>
      </w:pPr>
      <w:r>
        <w:rPr>
          <w:sz w:val="24"/>
          <w:szCs w:val="24"/>
        </w:rPr>
        <w:t xml:space="preserve">Choisir le modèle avant le produit</w:t>
      </w:r>
    </w:p>
    <w:p>
      <w:pPr>
        <w:spacing w:after="140"/>
      </w:pPr>
      <w:r>
        <w:rPr>
          <w:sz w:val="24"/>
          <w:szCs w:val="24"/>
        </w:rPr>
        <w:t xml:space="preserve">Importation-distribution, export direct, agence, courtage, agrégation de producteurs, fabrication sous contrat et fourniture industrielle ont des risques différents. Commencez avec échantillons, commandes pilotes et engagements progressifs.</w:t>
      </w:r>
    </w:p>
    <w:p>
      <w:pPr>
        <w:spacing w:after="140"/>
      </w:pPr>
      <w:r>
        <w:rPr>
          <w:sz w:val="24"/>
          <w:szCs w:val="24"/>
        </w:rPr>
        <w:t xml:space="preserve">Une thèse commerciale d’une page</w:t>
      </w:r>
    </w:p>
    <w:p>
      <w:pPr>
        <w:spacing w:after="140"/>
      </w:pPr>
      <w:r>
        <w:rPr>
          <w:sz w:val="24"/>
          <w:szCs w:val="24"/>
        </w:rPr>
        <w:t xml:space="preserve">Définissez le client, son problème, votre solution, la marge rendue, votre avantage et la condition d’arrêt. « La Syrie a besoin de tout » n’est pas une stratégie.</w:t>
      </w:r>
    </w:p>
    <w:p>
      <w:pPr>
        <w:spacing w:after="140"/>
      </w:pPr>
      <w:r>
        <w:rPr>
          <w:sz w:val="24"/>
          <w:szCs w:val="24"/>
        </w:rPr>
        <w:t xml:space="preserve">Choisir un produit à importer</w:t>
      </w:r>
    </w:p>
    <w:p>
      <w:pPr>
        <w:spacing w:after="140"/>
      </w:pPr>
      <w:r>
        <w:rPr>
          <w:sz w:val="24"/>
          <w:szCs w:val="24"/>
        </w:rPr>
        <w:t xml:space="preserve">Évaluez la nécessité, la fréquence d’achat, le stockage, la valeur par poids, la réglementation, le service après-vente et la concurrence. Les intrants qui évitent l’arrêt de production ou réduisent les coûts peuvent créer une valeur B2B claire, sans constituer une recommandation automatique.</w:t>
      </w:r>
    </w:p>
    <w:p>
      <w:pPr>
        <w:spacing w:after="140"/>
      </w:pPr>
      <w:r>
        <w:rPr>
          <w:sz w:val="24"/>
          <w:szCs w:val="24"/>
        </w:rPr>
        <w:t xml:space="preserve">Choisir un produit syrien à exporter</w:t>
      </w:r>
    </w:p>
    <w:p>
      <w:pPr>
        <w:spacing w:after="140"/>
      </w:pPr>
      <w:r>
        <w:rPr>
          <w:sz w:val="24"/>
          <w:szCs w:val="24"/>
        </w:rPr>
        <w:t xml:space="preserve">L’acheteur international exige une qualité répétable, traçabilité, emballage, certificats, communication et traitement des réclamations. Vérifiez matières ou savoir-faire local, cohérence des lots, étiquetage, origine, capacité et prix rendu.</w:t>
      </w:r>
    </w:p>
    <w:p>
      <w:pPr>
        <w:spacing w:after="140"/>
      </w:pPr>
      <w:r>
        <w:rPr>
          <w:sz w:val="24"/>
          <w:szCs w:val="24"/>
        </w:rPr>
        <w:t xml:space="preserve">Trouver le premier acheteur</w:t>
      </w:r>
    </w:p>
    <w:p>
      <w:pPr>
        <w:spacing w:after="140"/>
      </w:pPr>
      <w:r>
        <w:rPr>
          <w:sz w:val="24"/>
          <w:szCs w:val="24"/>
        </w:rPr>
        <w:t xml:space="preserve">Ne cherchez pas « le meilleur pays », cherchez un acheteur précis. Utilisez UN Comtrade, les outils ITC et WITS, puis réalisez vingt entretiens clients.</w:t>
      </w:r>
    </w:p>
    <w:p>
      <w:pPr>
        <w:spacing w:after="140"/>
      </w:pPr>
      <w:r>
        <w:rPr>
          <w:sz w:val="24"/>
          <w:szCs w:val="24"/>
        </w:rPr>
        <w:t xml:space="preserve">Coût complet et fonds de roulement</w:t>
      </w:r>
    </w:p>
    <w:p>
      <w:pPr>
        <w:spacing w:after="140"/>
      </w:pPr>
      <w:r>
        <w:rPr>
          <w:sz w:val="24"/>
          <w:szCs w:val="24"/>
        </w:rPr>
        <w:t xml:space="preserve">Ajoutez marchandise, transport origine, inspection, documents, fret, assurance, transit, douane, taxes, banque, change, entrepôt, distribution, garantie, retours et créances douteuses. Mesurez le cycle entre le premier acompte et le dernier encaissement.</w:t>
      </w:r>
    </w:p>
    <w:p>
      <w:pPr>
        <w:spacing w:after="140"/>
      </w:pPr>
      <w:r>
        <w:rPr>
          <w:sz w:val="24"/>
          <w:szCs w:val="24"/>
        </w:rPr>
        <w:t xml:space="preserve">Vérifier les partenaires</w:t>
      </w:r>
    </w:p>
    <w:p>
      <w:pPr>
        <w:spacing w:after="140"/>
      </w:pPr>
      <w:r>
        <w:rPr>
          <w:sz w:val="24"/>
          <w:szCs w:val="24"/>
        </w:rPr>
        <w:t xml:space="preserve">Contrôlez identité juridique, signataire, compte, bénéficiaires effectifs, licences, références, usine, capacité et échantillon de production. L’annuaire Bsouria sert à découvrir, pas à remplacer la due diligence.</w:t>
      </w:r>
    </w:p>
    <w:p>
      <w:pPr>
        <w:spacing w:after="140"/>
      </w:pPr>
      <w:r>
        <w:rPr>
          <w:sz w:val="24"/>
          <w:szCs w:val="24"/>
        </w:rPr>
        <w:t xml:space="preserve">Conformité</w:t>
      </w:r>
    </w:p>
    <w:p>
      <w:pPr>
        <w:spacing w:after="140"/>
      </w:pPr>
      <w:r>
        <w:rPr>
          <w:sz w:val="24"/>
          <w:szCs w:val="24"/>
        </w:rPr>
        <w:t xml:space="preserve">Documentez parties, HS, origine, usage final, banque, transporteur, assureur et route. Consultez les informations actuelles du Trésor américain, du Conseil de l’UE et des autorités nationales.</w:t>
      </w:r>
    </w:p>
    <w:p>
      <w:pPr>
        <w:spacing w:after="140"/>
      </w:pPr>
      <w:r>
        <w:rPr>
          <w:sz w:val="24"/>
          <w:szCs w:val="24"/>
        </w:rPr>
        <w:t xml:space="preserve">HS, origine et qualité</w:t>
      </w:r>
    </w:p>
    <w:p>
      <w:pPr>
        <w:spacing w:after="140"/>
      </w:pPr>
      <w:r>
        <w:rPr>
          <w:sz w:val="24"/>
          <w:szCs w:val="24"/>
        </w:rPr>
        <w:t xml:space="preserve">Le Système harmonisé de l’OMD influence droits, restrictions et autorisations. L’origine n’est pas le lieu d’expédition. Créez un dossier produit avec spécification, échantillon, contrôle, tolérances, emballage et certificats.</w:t>
      </w:r>
    </w:p>
    <w:p>
      <w:pPr>
        <w:spacing w:after="140"/>
      </w:pPr>
      <w:r>
        <w:rPr>
          <w:sz w:val="24"/>
          <w:szCs w:val="24"/>
        </w:rPr>
        <w:t xml:space="preserve">Contrat, Incoterms et paiement</w:t>
      </w:r>
    </w:p>
    <w:p>
      <w:pPr>
        <w:spacing w:after="140"/>
      </w:pPr>
      <w:r>
        <w:rPr>
          <w:sz w:val="24"/>
          <w:szCs w:val="24"/>
        </w:rPr>
        <w:t xml:space="preserve">Définissez produit, quantité, prix, devise, livraison, retard, inspection, rejet, documents, garantie, conformité, droit et litige. Utilisez une règle Incoterms® 2020 avec lieu précis. Prévalidez le circuit bancaire et choisissez acompte, compte ouvert, remise documentaire ou crédit documentaire selon le risque.</w:t>
      </w:r>
    </w:p>
    <w:p>
      <w:pPr>
        <w:spacing w:after="140"/>
      </w:pPr>
      <w:r>
        <w:rPr>
          <w:sz w:val="24"/>
          <w:szCs w:val="24"/>
        </w:rPr>
        <w:t xml:space="preserve">Logistique et pilote</w:t>
      </w:r>
    </w:p>
    <w:p>
      <w:pPr>
        <w:spacing w:after="140"/>
      </w:pPr>
      <w:r>
        <w:rPr>
          <w:sz w:val="24"/>
          <w:szCs w:val="24"/>
        </w:rPr>
        <w:t xml:space="preserve">Comparez durée réelle, transbordements, frontières, responsabilité, stockage et assurance. La première expédition doit mesurer délais, coût réel, défauts, dédouanement, vente, recouvrement et réclamations. N’augmentez pas uniquement parce que la marchandise est arrivée.</w:t>
      </w:r>
    </w:p>
    <w:p>
      <w:pPr>
        <w:spacing w:after="140"/>
      </w:pPr>
      <w:r>
        <w:rPr>
          <w:sz w:val="24"/>
          <w:szCs w:val="24"/>
        </w:rPr>
        <w:t xml:space="preserve">Plan de 120 jours</w:t>
      </w:r>
    </w:p>
    <w:p>
      <w:pPr>
        <w:spacing w:after="140"/>
      </w:pPr>
      <w:r>
        <w:rPr>
          <w:sz w:val="24"/>
          <w:szCs w:val="24"/>
        </w:rPr>
        <w:t xml:space="preserve">Jours 1–20 : secteur et vingt entretiens.</w:t>
      </w:r>
    </w:p>
    <w:p>
      <w:pPr>
        <w:spacing w:after="140"/>
      </w:pPr>
      <w:r>
        <w:rPr>
          <w:sz w:val="24"/>
          <w:szCs w:val="24"/>
        </w:rPr>
        <w:t xml:space="preserve">21–40 : HS, autorisations, trois partenaires, échantillons et coûts.</w:t>
      </w:r>
    </w:p>
    <w:p>
      <w:pPr>
        <w:spacing w:after="140"/>
      </w:pPr>
      <w:r>
        <w:rPr>
          <w:sz w:val="24"/>
          <w:szCs w:val="24"/>
        </w:rPr>
        <w:t xml:space="preserve">41–60 : banque, transporteur, contrat et pilote.</w:t>
      </w:r>
    </w:p>
    <w:p>
      <w:pPr>
        <w:spacing w:after="140"/>
      </w:pPr>
      <w:r>
        <w:rPr>
          <w:sz w:val="24"/>
          <w:szCs w:val="24"/>
        </w:rPr>
        <w:t xml:space="preserve">61–90 : production, contrôle, expédition, douane.</w:t>
      </w:r>
    </w:p>
    <w:p>
      <w:pPr>
        <w:spacing w:after="140"/>
      </w:pPr>
      <w:r>
        <w:rPr>
          <w:sz w:val="24"/>
          <w:szCs w:val="24"/>
        </w:rPr>
        <w:t xml:space="preserve">91–120 : vente, encaissement, marge et décision.</w:t>
      </w:r>
    </w:p>
    <w:p>
      <w:pPr>
        <w:spacing w:after="140"/>
      </w:pPr>
      <w:r>
        <w:rPr>
          <w:sz w:val="24"/>
          <w:szCs w:val="24"/>
        </w:rPr>
        <w:t xml:space="preserve">Ressources</w:t>
      </w:r>
    </w:p>
    <w:p>
      <w:pPr>
        <w:spacing w:after="140"/>
      </w:pPr>
      <w:r>
        <w:rPr>
          <w:sz w:val="24"/>
          <w:szCs w:val="24"/>
        </w:rPr>
        <w:t xml:space="preserve">Dialogue du secteur privé syrien</w:t>
      </w:r>
    </w:p>
    <w:p>
      <w:pPr>
        <w:spacing w:after="140"/>
      </w:pPr>
      <w:r>
        <w:rPr>
          <w:sz w:val="24"/>
          <w:szCs w:val="24"/>
        </w:rPr>
        <w:t xml:space="preserve">Banque mondiale – Syrie</w:t>
      </w:r>
    </w:p>
    <w:p>
      <w:pPr>
        <w:spacing w:after="140"/>
      </w:pPr>
      <w:r>
        <w:rPr>
          <w:sz w:val="24"/>
          <w:szCs w:val="24"/>
        </w:rPr>
        <w:t xml:space="preserve">UN Comtrade</w:t>
      </w:r>
    </w:p>
    <w:p>
      <w:pPr>
        <w:spacing w:after="140"/>
      </w:pPr>
      <w:r>
        <w:rPr>
          <w:sz w:val="24"/>
          <w:szCs w:val="24"/>
        </w:rPr>
        <w:t xml:space="preserve">ITC Market Analysis</w:t>
      </w:r>
    </w:p>
    <w:p>
      <w:pPr>
        <w:spacing w:after="140"/>
      </w:pPr>
      <w:r>
        <w:rPr>
          <w:sz w:val="24"/>
          <w:szCs w:val="24"/>
        </w:rPr>
        <w:t xml:space="preserve">Incoterms® 2020</w:t>
      </w:r>
    </w:p>
    <w:p>
      <w:pPr>
        <w:spacing w:after="140"/>
      </w:pPr>
      <w:r>
        <w:rPr>
          <w:sz w:val="24"/>
          <w:szCs w:val="24"/>
        </w:rPr>
        <w:t xml:space="preserve">Conclusion</w:t>
      </w:r>
    </w:p>
    <w:p>
      <w:pPr>
        <w:spacing w:after="140"/>
      </w:pPr>
      <w:r>
        <w:rPr>
          <w:sz w:val="24"/>
          <w:szCs w:val="24"/>
        </w:rPr>
        <w:t xml:space="preserve">La meilleure opportunité n’est pas celle qui affiche la plus grande marge, mais celle dont le client, le produit, les parties, le coût, le paiement, la conformité et le pilote sont maîtrisés. Commencez modestement, travaillez professionnellement et augmentez seulement après preuve de qualité, vente et encaissement.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Construire une activité d’import-export avec la Syrie en 2026 : du produit à la première expédition rentable</dc:title>
  <dc:creator>Bsouria</dc:creator>
  <cp:lastModifiedBy>Bsouria</cp:lastModifiedBy>
  <dcterms:created xsi:type="dcterms:W3CDTF">2026-07-31T02:20:15Z</dcterms:created>
</cp:coreProperties>
</file>