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Banques et paiements en Syrie en 2026 : comptes, transferts, cartes et sécurité</w:t>
      </w:r>
    </w:p>
    <w:p>
      <w:pPr/>
      <w:r>
        <w:rPr>
          <w:i/>
          <w:color w:val="64736B"/>
        </w:rPr>
        <w:t>Bsouria Editorial · 2026-07-26</w:t>
      </w:r>
    </w:p>
    <w:p>
      <w:pPr>
        <w:spacing w:after="220"/>
      </w:pPr>
      <w:r>
        <w:rPr>
          <w:i/>
        </w:rPr>
        <w:t>Guide pratique des comptes, virements, remises, cartes, portefeuilles, paiements POS, frais, vérification et prévention de la fraude.</w:t>
      </w:r>
    </w:p>
    <w:p>
      <w:pPr>
        <w:spacing w:after="140"/>
      </w:pPr>
      <w:r>
        <w:rPr>
          <w:sz w:val="24"/>
          <w:szCs w:val="24"/>
        </w:rPr>
        <w:t xml:space="preserve">L’infrastructure financière syrienne a évolué rapidement en 2026 : autorisation de travailler avec des réseaux mondiaux, début de l’acceptation de cartes internationales, extension des points de dépôt et retrait et davantage de choix pour certaines remises extérieures. La technologie nouvelle ne signifie toutefois pas que toute carte fonctionne partout ni que les risques ont disparu.</w:t>
      </w:r>
    </w:p>
    <w:p>
      <w:pPr>
        <w:spacing w:after="140"/>
      </w:pPr>
      <w:r>
        <w:rPr>
          <w:sz w:val="24"/>
          <w:szCs w:val="24"/>
        </w:rPr>
        <w:t xml:space="preserve">Avertissement : services, limites, frais et devises varient selon l’institution, le client, la conformité et la liquidité. Vérifiez les conditions actuelles auprès d’un prestataire agréé.</w:t>
      </w:r>
    </w:p>
    <w:p>
      <w:pPr>
        <w:spacing w:after="140"/>
      </w:pPr>
      <w:r>
        <w:rPr>
          <w:sz w:val="24"/>
          <w:szCs w:val="24"/>
        </w:rPr>
        <w:t xml:space="preserve">Ce qui a changé en 2026</w:t>
      </w:r>
    </w:p>
    <w:p>
      <w:pPr>
        <w:spacing w:after="140"/>
      </w:pPr>
      <w:r>
        <w:rPr>
          <w:sz w:val="24"/>
          <w:szCs w:val="24"/>
        </w:rPr>
        <w:t xml:space="preserve">En mai 2026, les banques et sociétés de paiement agréées ont été autorisées à travailler avec Visa, Mastercard et d’autres réseaux. L’acceptation des cartes internationales a commencé progressivement. En juin, certaines remises entrantes ont permis un choix entre livre syrienne et devise étrangère selon disponibilité.</w:t>
      </w:r>
    </w:p>
    <w:p>
      <w:pPr>
        <w:spacing w:after="140"/>
      </w:pPr>
      <w:r>
        <w:rPr>
          <w:sz w:val="24"/>
          <w:szCs w:val="24"/>
        </w:rPr>
        <w:t xml:space="preserve">Cartographier les canaux</w:t>
      </w:r>
    </w:p>
    <w:p>
      <w:pPr>
        <w:spacing w:after="140"/>
      </w:pPr>
      <w:r>
        <w:rPr>
          <w:sz w:val="24"/>
          <w:szCs w:val="24"/>
        </w:rPr>
        <w:t xml:space="preserve">Espèces pour petites opérations, compte pour salaire et entreprise, carte pour ATM/POS, portefeuille pour transferts locaux, remise pour réception, virement commercial pour fournisseur et importation. Vérifiez licence, identité, devise, frais, limite et recours.</w:t>
      </w:r>
    </w:p>
    <w:p>
      <w:pPr>
        <w:spacing w:after="140"/>
      </w:pPr>
      <w:r>
        <w:rPr>
          <w:sz w:val="24"/>
          <w:szCs w:val="24"/>
        </w:rPr>
        <w:t xml:space="preserve">Ouvrir le compte adapté</w:t>
      </w:r>
    </w:p>
    <w:p>
      <w:pPr>
        <w:spacing w:after="140"/>
      </w:pPr>
      <w:r>
        <w:rPr>
          <w:sz w:val="24"/>
          <w:szCs w:val="24"/>
        </w:rPr>
        <w:t xml:space="preserve">Le compte personnel ne remplace pas toujours le compte de société. L’entreprise doit séparer l’argent du propriétaire, définir les signatures et rapprocher les relevés des factures. Demandez minimum, frais, retraits, virements, accès numérique, cartes, devises et signatures conjointes.</w:t>
      </w:r>
    </w:p>
    <w:p>
      <w:pPr>
        <w:spacing w:after="140"/>
      </w:pPr>
      <w:r>
        <w:rPr>
          <w:sz w:val="24"/>
          <w:szCs w:val="24"/>
        </w:rPr>
        <w:t xml:space="preserve">Pourquoi les documents ?</w:t>
      </w:r>
    </w:p>
    <w:p>
      <w:pPr>
        <w:spacing w:after="140"/>
      </w:pPr>
      <w:r>
        <w:rPr>
          <w:sz w:val="24"/>
          <w:szCs w:val="24"/>
        </w:rPr>
        <w:t xml:space="preserve">Le prestataire doit connaître client, objet, origine des fonds et bénéficiaire effectif. Préparez registre, statuts, dirigeants, signataires, propriété, licences, factures et contrats. Consultez les guides création d’entreprise et vérification.</w:t>
      </w:r>
    </w:p>
    <w:p>
      <w:pPr>
        <w:spacing w:after="140"/>
      </w:pPr>
      <w:r>
        <w:rPr>
          <w:sz w:val="24"/>
          <w:szCs w:val="24"/>
        </w:rPr>
        <w:t xml:space="preserve">Un virement comporte plusieurs étapes</w:t>
      </w:r>
    </w:p>
    <w:p>
      <w:pPr>
        <w:spacing w:after="140"/>
      </w:pPr>
      <w:r>
        <w:rPr>
          <w:sz w:val="24"/>
          <w:szCs w:val="24"/>
        </w:rPr>
        <w:t xml:space="preserve">Instruction.</w:t>
      </w:r>
    </w:p>
    <w:p>
      <w:pPr>
        <w:spacing w:after="140"/>
      </w:pPr>
      <w:r>
        <w:rPr>
          <w:sz w:val="24"/>
          <w:szCs w:val="24"/>
        </w:rPr>
        <w:t xml:space="preserve">Contrôle solde, identité et conformité.</w:t>
      </w:r>
    </w:p>
    <w:p>
      <w:pPr>
        <w:spacing w:after="140"/>
      </w:pPr>
      <w:r>
        <w:rPr>
          <w:sz w:val="24"/>
          <w:szCs w:val="24"/>
        </w:rPr>
        <w:t xml:space="preserve">Acceptation et référence.</w:t>
      </w:r>
    </w:p>
    <w:p>
      <w:pPr>
        <w:spacing w:after="140"/>
      </w:pPr>
      <w:r>
        <w:rPr>
          <w:sz w:val="24"/>
          <w:szCs w:val="24"/>
        </w:rPr>
        <w:t xml:space="preserve">Règlement entre institutions.</w:t>
      </w:r>
    </w:p>
    <w:p>
      <w:pPr>
        <w:spacing w:after="140"/>
      </w:pPr>
      <w:r>
        <w:rPr>
          <w:sz w:val="24"/>
          <w:szCs w:val="24"/>
        </w:rPr>
        <w:t xml:space="preserve">Mise à disposition.</w:t>
      </w:r>
    </w:p>
    <w:p>
      <w:pPr>
        <w:spacing w:after="140"/>
      </w:pPr>
      <w:r>
        <w:rPr>
          <w:sz w:val="24"/>
          <w:szCs w:val="24"/>
        </w:rPr>
        <w:t xml:space="preserve">« Envoyé » peut signifier instruction acceptée. La preuve forte est l’écriture chez le bénéficiaire ou une confirmation vérifiable.</w:t>
      </w:r>
    </w:p>
    <w:p>
      <w:pPr>
        <w:spacing w:after="140"/>
      </w:pPr>
      <w:r>
        <w:rPr>
          <w:sz w:val="24"/>
          <w:szCs w:val="24"/>
        </w:rPr>
        <w:t xml:space="preserve">Cartes</w:t>
      </w:r>
    </w:p>
    <w:p>
      <w:pPr>
        <w:spacing w:after="140"/>
      </w:pPr>
      <w:r>
        <w:rPr>
          <w:sz w:val="24"/>
          <w:szCs w:val="24"/>
        </w:rPr>
        <w:t xml:space="preserve">Vérifiez locale/internationale, débit/crédit/prépayée, ATM/POS/internet, limites, frais et conversion. Contrôlez le montant avant le code. Ne laissez pas photographier la carte et ne donnez jamais code de sécurité ou code unique.</w:t>
      </w:r>
    </w:p>
    <w:p>
      <w:pPr>
        <w:spacing w:after="140"/>
      </w:pPr>
      <w:r>
        <w:rPr>
          <w:sz w:val="24"/>
          <w:szCs w:val="24"/>
        </w:rPr>
        <w:t xml:space="preserve">Portefeuilles et paiement</w:t>
      </w:r>
    </w:p>
    <w:p>
      <w:pPr>
        <w:spacing w:after="140"/>
      </w:pPr>
      <w:r>
        <w:rPr>
          <w:sz w:val="24"/>
          <w:szCs w:val="24"/>
        </w:rPr>
        <w:t xml:space="preserve">Utilisez un prestataire agréé et l’application officielle. Liez un numéro contrôlé, verrouillez l’appareil et gardez la référence. Pour un nouveau bénéficiaire, confirmez le nom et testez un petit montant.</w:t>
      </w:r>
    </w:p>
    <w:p>
      <w:pPr>
        <w:spacing w:after="140"/>
      </w:pPr>
      <w:r>
        <w:rPr>
          <w:sz w:val="24"/>
          <w:szCs w:val="24"/>
        </w:rPr>
        <w:t xml:space="preserve">Pour le commerçant : pas de simple capture d’écran</w:t>
      </w:r>
    </w:p>
    <w:p>
      <w:pPr>
        <w:spacing w:after="140"/>
      </w:pPr>
      <w:r>
        <w:rPr>
          <w:sz w:val="24"/>
          <w:szCs w:val="24"/>
        </w:rPr>
        <w:t xml:space="preserve">Reliez paiement, commande, facture, heure, canal et référence. Rapprochez rapports POS/portefeuille et relevé bancaire. Préparez une procédure pour attente, double, annulation et remboursement.</w:t>
      </w:r>
    </w:p>
    <w:p>
      <w:pPr>
        <w:spacing w:after="140"/>
      </w:pPr>
      <w:r>
        <w:rPr>
          <w:sz w:val="24"/>
          <w:szCs w:val="24"/>
        </w:rPr>
        <w:t xml:space="preserve">Coût total</w:t>
      </w:r>
    </w:p>
    <w:p>
      <w:pPr>
        <w:spacing w:after="140"/>
      </w:pPr>
      <w:r>
        <w:rPr>
          <w:sz w:val="24"/>
          <w:szCs w:val="24"/>
        </w:rPr>
        <w:t xml:space="preserve">Il peut inclure envoi, réception, retrait, POS, conversion, banque intermédiaire et taux de change. Demandez un exemple chiffré du débit et du montant reçu.</w:t>
      </w:r>
    </w:p>
    <w:p>
      <w:pPr>
        <w:spacing w:after="140"/>
      </w:pPr>
      <w:r>
        <w:rPr>
          <w:sz w:val="24"/>
          <w:szCs w:val="24"/>
        </w:rPr>
        <w:t xml:space="preserve">Paiements fournisseurs et clients</w:t>
      </w:r>
    </w:p>
    <w:p>
      <w:pPr>
        <w:spacing w:after="140"/>
      </w:pPr>
      <w:r>
        <w:rPr>
          <w:sz w:val="24"/>
          <w:szCs w:val="24"/>
        </w:rPr>
        <w:t xml:space="preserve">Le contrat doit préciser compte, devise, échéance, frais et référence. Ne changez pas le compte fournisseur sur un seul courriel ; confirmez par un second canal. Consultez le guide import-export.</w:t>
      </w:r>
    </w:p>
    <w:p>
      <w:pPr>
        <w:spacing w:after="140"/>
      </w:pPr>
      <w:r>
        <w:rPr>
          <w:sz w:val="24"/>
          <w:szCs w:val="24"/>
        </w:rPr>
        <w:t xml:space="preserve">Rapprochement</w:t>
      </w:r>
    </w:p>
    <w:p>
      <w:pPr>
        <w:spacing w:after="140"/>
      </w:pPr>
      <w:r>
        <w:rPr>
          <w:sz w:val="24"/>
          <w:szCs w:val="24"/>
        </w:rPr>
        <w:t xml:space="preserve">Exportez les rapports de même période, rapprochez référence, montant et devise, isolez les écarts, contestez dans les délais et documentez l’écriture.</w:t>
      </w:r>
    </w:p>
    <w:p>
      <w:pPr>
        <w:spacing w:after="140"/>
      </w:pPr>
      <w:r>
        <w:rPr>
          <w:sz w:val="24"/>
          <w:szCs w:val="24"/>
        </w:rPr>
        <w:t xml:space="preserve">Sécurité en couches</w:t>
      </w:r>
    </w:p>
    <w:p>
      <w:pPr>
        <w:spacing w:after="140"/>
      </w:pPr>
      <w:r>
        <w:rPr>
          <w:sz w:val="24"/>
          <w:szCs w:val="24"/>
        </w:rPr>
        <w:t xml:space="preserve">Mot de passe unique et gestionnaire.</w:t>
      </w:r>
    </w:p>
    <w:p>
      <w:pPr>
        <w:spacing w:after="140"/>
      </w:pPr>
      <w:r>
        <w:rPr>
          <w:sz w:val="24"/>
          <w:szCs w:val="24"/>
        </w:rPr>
        <w:t xml:space="preserve">Double authentification.</w:t>
      </w:r>
    </w:p>
    <w:p>
      <w:pPr>
        <w:spacing w:after="140"/>
      </w:pPr>
      <w:r>
        <w:rPr>
          <w:sz w:val="24"/>
          <w:szCs w:val="24"/>
        </w:rPr>
        <w:t xml:space="preserve">Aucun partage de code.</w:t>
      </w:r>
    </w:p>
    <w:p>
      <w:pPr>
        <w:spacing w:after="140"/>
      </w:pPr>
      <w:r>
        <w:rPr>
          <w:sz w:val="24"/>
          <w:szCs w:val="24"/>
        </w:rPr>
        <w:t xml:space="preserve">Séparation création/approbation.</w:t>
      </w:r>
    </w:p>
    <w:p>
      <w:pPr>
        <w:spacing w:after="140"/>
      </w:pPr>
      <w:r>
        <w:rPr>
          <w:sz w:val="24"/>
          <w:szCs w:val="24"/>
        </w:rPr>
        <w:t xml:space="preserve">Revue des alertes et relevés.</w:t>
      </w:r>
    </w:p>
    <w:p>
      <w:pPr>
        <w:spacing w:after="140"/>
      </w:pPr>
      <w:r>
        <w:rPr>
          <w:sz w:val="24"/>
          <w:szCs w:val="24"/>
        </w:rPr>
        <w:t xml:space="preserve">Mise à jour téléphone et courriel.</w:t>
      </w:r>
    </w:p>
    <w:p>
      <w:pPr>
        <w:spacing w:after="140"/>
      </w:pPr>
      <w:r>
        <w:rPr>
          <w:sz w:val="24"/>
          <w:szCs w:val="24"/>
        </w:rPr>
        <w:t xml:space="preserve">En cas de fraude</w:t>
      </w:r>
    </w:p>
    <w:p>
      <w:pPr>
        <w:spacing w:after="140"/>
      </w:pPr>
      <w:r>
        <w:rPr>
          <w:sz w:val="24"/>
          <w:szCs w:val="24"/>
        </w:rPr>
        <w:t xml:space="preserve">Coupez le contact, ne payez pas de « déblocage », contactez le numéro officiel, changez les accès depuis un appareil sûr, gardez messages et références et contestez rapidement.</w:t>
      </w:r>
    </w:p>
    <w:p>
      <w:pPr>
        <w:spacing w:after="140"/>
      </w:pPr>
      <w:r>
        <w:rPr>
          <w:sz w:val="24"/>
          <w:szCs w:val="24"/>
        </w:rPr>
        <w:t xml:space="preserve">Conformité internationale</w:t>
      </w:r>
    </w:p>
    <w:p>
      <w:pPr>
        <w:spacing w:after="140"/>
      </w:pPr>
      <w:r>
        <w:rPr>
          <w:sz w:val="24"/>
          <w:szCs w:val="24"/>
        </w:rPr>
        <w:t xml:space="preserve">L’accès aux réseaux mondiaux ne supprime pas le filtrage des parties, marchandises, banques et sanctions. Demandez la liste documentaire avant de signer.</w:t>
      </w:r>
    </w:p>
    <w:p>
      <w:pPr>
        <w:spacing w:after="140"/>
      </w:pPr>
      <w:r>
        <w:rPr>
          <w:sz w:val="24"/>
          <w:szCs w:val="24"/>
        </w:rPr>
        <w:t xml:space="preserve">Relier paiement et trésorerie</w:t>
      </w:r>
    </w:p>
    <w:p>
      <w:pPr>
        <w:spacing w:after="140"/>
      </w:pPr>
      <w:r>
        <w:rPr>
          <w:sz w:val="24"/>
          <w:szCs w:val="24"/>
        </w:rPr>
        <w:t xml:space="preserve">Suivez instruction, débit, règlement et disponibilité. Utilisez le guide de financement.</w:t>
      </w:r>
    </w:p>
    <w:p>
      <w:pPr>
        <w:spacing w:after="140"/>
      </w:pPr>
      <w:r>
        <w:rPr>
          <w:sz w:val="24"/>
          <w:szCs w:val="24"/>
        </w:rPr>
        <w:t xml:space="preserve">Liste de contrôle d’une remise extérieure</w:t>
      </w:r>
    </w:p>
    <w:p>
      <w:pPr>
        <w:spacing w:after="140"/>
      </w:pPr>
      <w:r>
        <w:rPr>
          <w:sz w:val="24"/>
          <w:szCs w:val="24"/>
        </w:rPr>
        <w:t xml:space="preserve">Écrivez le nom exactement comme sur l’identité, vérifiez ville, référence, devise et mode de remise. Ne publiez pas la référence. Si le choix livre/devise existe, demandez montant net, commission, taux et disponibilité du jour. Évitez toute personne inconnue hors circuit officiel.</w:t>
      </w:r>
    </w:p>
    <w:p>
      <w:pPr>
        <w:spacing w:after="140"/>
      </w:pPr>
      <w:r>
        <w:rPr>
          <w:sz w:val="24"/>
          <w:szCs w:val="24"/>
        </w:rPr>
        <w:t xml:space="preserve">Registre de paiement du commerçant</w:t>
      </w:r>
    </w:p>
    <w:p>
      <w:pPr>
        <w:spacing w:after="140"/>
      </w:pPr>
      <w:r>
        <w:rPr>
          <w:sz w:val="24"/>
          <w:szCs w:val="24"/>
        </w:rPr>
        <w:t xml:space="preserve">ChampUtilitéCommandeRelie le paiement à la venteRéférencePermet traçage et contestationMontant et deviseÉvite erreur de saisie ou conversionFraisExplique l’écart brut-netStatutDistingue attente et règlementDate disponibleAide la trésorerie</w:t>
      </w:r>
    </w:p>
    <w:p>
      <w:pPr>
        <w:spacing w:after="140"/>
      </w:pPr>
      <w:r>
        <w:rPr>
          <w:sz w:val="24"/>
          <w:szCs w:val="24"/>
        </w:rPr>
        <w:t xml:space="preserve">Fraude au changement de compte fournisseur</w:t>
      </w:r>
    </w:p>
    <w:p>
      <w:pPr>
        <w:spacing w:after="140"/>
      </w:pPr>
      <w:r>
        <w:rPr>
          <w:sz w:val="24"/>
          <w:szCs w:val="24"/>
        </w:rPr>
        <w:t xml:space="preserve">Ne payez pas un nouveau compte reçu par un seul courriel. Confirmez par téléphone connu ou second canal avec une personne autorisée. Société, titulaire, contrat et facture doivent être cohérents. Une modification urgente juste avant échéance est un signal fort.</w:t>
      </w:r>
    </w:p>
    <w:p>
      <w:pPr>
        <w:spacing w:after="140"/>
      </w:pPr>
      <w:r>
        <w:rPr>
          <w:sz w:val="24"/>
          <w:szCs w:val="24"/>
        </w:rPr>
        <w:t xml:space="preserve">Préparer un dossier de contestation</w:t>
      </w:r>
    </w:p>
    <w:p>
      <w:pPr>
        <w:spacing w:after="140"/>
      </w:pPr>
      <w:r>
        <w:rPr>
          <w:sz w:val="24"/>
          <w:szCs w:val="24"/>
        </w:rPr>
        <w:t xml:space="preserve">Rassemblez référence, date, montant, devise, canal, captures, contrat ou commande et échanges. Utilisez le canal officiel et respectez le délai. Suivez séparément double débit, annulation et remboursement.</w:t>
      </w:r>
    </w:p>
    <w:p>
      <w:pPr>
        <w:spacing w:after="140"/>
      </w:pPr>
      <w:r>
        <w:rPr>
          <w:sz w:val="24"/>
          <w:szCs w:val="24"/>
        </w:rPr>
        <w:t xml:space="preserve">Matrice des pouvoirs en entreprise</w:t>
      </w:r>
    </w:p>
    <w:p>
      <w:pPr>
        <w:spacing w:after="140"/>
      </w:pPr>
      <w:r>
        <w:rPr>
          <w:sz w:val="24"/>
          <w:szCs w:val="24"/>
        </w:rPr>
        <w:t xml:space="preserve">La personne qui crée un paiement ne doit pas l’approuver seule. Prévoyez un ou deux niveaux selon montant, un contrôle supplémentaire pour nouveau bénéficiaire et une double vérification lors d’un changement de compte. Retirez les accès le jour du départ.</w:t>
      </w:r>
    </w:p>
    <w:p>
      <w:pPr>
        <w:spacing w:after="140"/>
      </w:pPr>
      <w:r>
        <w:rPr>
          <w:sz w:val="24"/>
          <w:szCs w:val="24"/>
        </w:rPr>
        <w:t xml:space="preserve">Plan en cas de panne</w:t>
      </w:r>
    </w:p>
    <w:p>
      <w:pPr>
        <w:spacing w:after="140"/>
      </w:pPr>
      <w:r>
        <w:rPr>
          <w:sz w:val="24"/>
          <w:szCs w:val="24"/>
        </w:rPr>
        <w:t xml:space="preserve">Écrivez comment enregistrer une vente si internet, POS ou portefeuille tombe, jusqu’à quel montant accepter une alternative et comment rapprocher ensuite. Utilisez un numéro temporaire pour éviter un double encaissement.</w:t>
      </w:r>
    </w:p>
    <w:p>
      <w:pPr>
        <w:spacing w:after="140"/>
      </w:pPr>
      <w:r>
        <w:rPr>
          <w:sz w:val="24"/>
          <w:szCs w:val="24"/>
        </w:rPr>
        <w:t xml:space="preserve">Comparer frais et coût de change</w:t>
      </w:r>
    </w:p>
    <w:p>
      <w:pPr>
        <w:spacing w:after="140"/>
      </w:pPr>
      <w:r>
        <w:rPr>
          <w:sz w:val="24"/>
          <w:szCs w:val="24"/>
        </w:rPr>
        <w:t xml:space="preserve">La commission affichée n’est pas toujours le coût total. Envoi, réception, retrait, POS, conversion, intermédiaire et écart de change peuvent s’ajouter. Pour le même montant, demandez par écrit : combien est débité, combien arrive et quand les fonds sont disponibles. Une entreprise doit comparer chaque mois coût, vitesse, échec et remboursement.</w:t>
      </w:r>
    </w:p>
    <w:p>
      <w:pPr>
        <w:spacing w:after="140"/>
      </w:pPr>
      <w:r>
        <w:rPr>
          <w:sz w:val="24"/>
          <w:szCs w:val="24"/>
        </w:rPr>
        <w:t xml:space="preserve">Sept contrôles avant un paiement important</w:t>
      </w:r>
    </w:p>
    <w:p>
      <w:pPr>
        <w:spacing w:after="140"/>
      </w:pPr>
      <w:r>
        <w:rPr>
          <w:sz w:val="24"/>
          <w:szCs w:val="24"/>
        </w:rPr>
        <w:t xml:space="preserve">Identité et compte vérifiés par un canal indépendant ?</w:t>
      </w:r>
    </w:p>
    <w:p>
      <w:pPr>
        <w:spacing w:after="140"/>
      </w:pPr>
      <w:r>
        <w:rPr>
          <w:sz w:val="24"/>
          <w:szCs w:val="24"/>
        </w:rPr>
        <w:t xml:space="preserve">Facture, contrat et objet cohérents ?</w:t>
      </w:r>
    </w:p>
    <w:p>
      <w:pPr>
        <w:spacing w:after="140"/>
      </w:pPr>
      <w:r>
        <w:rPr>
          <w:sz w:val="24"/>
          <w:szCs w:val="24"/>
        </w:rPr>
        <w:t xml:space="preserve">Devise, taux et frais totaux connus ?</w:t>
      </w:r>
    </w:p>
    <w:p>
      <w:pPr>
        <w:spacing w:after="140"/>
      </w:pPr>
      <w:r>
        <w:rPr>
          <w:sz w:val="24"/>
          <w:szCs w:val="24"/>
        </w:rPr>
        <w:t xml:space="preserve">Canal agréé avec procédure de contestation ?</w:t>
      </w:r>
    </w:p>
    <w:p>
      <w:pPr>
        <w:spacing w:after="140"/>
      </w:pPr>
      <w:r>
        <w:rPr>
          <w:sz w:val="24"/>
          <w:szCs w:val="24"/>
        </w:rPr>
        <w:t xml:space="preserve">Approbation interne complète ?</w:t>
      </w:r>
    </w:p>
    <w:p>
      <w:pPr>
        <w:spacing w:after="140"/>
      </w:pPr>
      <w:r>
        <w:rPr>
          <w:sz w:val="24"/>
          <w:szCs w:val="24"/>
        </w:rPr>
        <w:t xml:space="preserve">Référence suffisante pour le rapprochement ?</w:t>
      </w:r>
    </w:p>
    <w:p>
      <w:pPr>
        <w:spacing w:after="140"/>
      </w:pPr>
      <w:r>
        <w:rPr>
          <w:sz w:val="24"/>
          <w:szCs w:val="24"/>
        </w:rPr>
        <w:t xml:space="preserve">Changement de compte ou pression de dernière minute ?</w:t>
      </w:r>
    </w:p>
    <w:p>
      <w:pPr>
        <w:spacing w:after="140"/>
      </w:pPr>
      <w:r>
        <w:rPr>
          <w:sz w:val="24"/>
          <w:szCs w:val="24"/>
        </w:rPr>
        <w:t xml:space="preserve">Relier le paiement au cycle de trésorerie</w:t>
      </w:r>
    </w:p>
    <w:p>
      <w:pPr>
        <w:spacing w:after="140"/>
      </w:pPr>
      <w:r>
        <w:rPr>
          <w:sz w:val="24"/>
          <w:szCs w:val="24"/>
        </w:rPr>
        <w:t xml:space="preserve">Notez séparément instruction, débit, règlement et disponibilité. Un canal rapide peut réduire la marge par ses frais ; un canal moins cher peut retarder le fournisseur. Décidez selon l’effet sur stock, livraison et encaissement client, non selon la commission seule.</w:t>
      </w:r>
    </w:p>
    <w:p>
      <w:pPr>
        <w:spacing w:after="140"/>
      </w:pPr>
      <w:r>
        <w:rPr>
          <w:sz w:val="24"/>
          <w:szCs w:val="24"/>
        </w:rPr>
        <w:t xml:space="preserve">Sources</w:t>
      </w:r>
    </w:p>
    <w:p>
      <w:pPr>
        <w:spacing w:after="140"/>
      </w:pPr>
      <w:r>
        <w:rPr>
          <w:sz w:val="24"/>
          <w:szCs w:val="24"/>
        </w:rPr>
        <w:t xml:space="preserve">Décision sur les réseaux mondiaux</w:t>
      </w:r>
    </w:p>
    <w:p>
      <w:pPr>
        <w:spacing w:after="140"/>
      </w:pPr>
      <w:r>
        <w:rPr>
          <w:sz w:val="24"/>
          <w:szCs w:val="24"/>
        </w:rPr>
        <w:t xml:space="preserve">Réseau local connecté</w:t>
      </w:r>
    </w:p>
    <w:p>
      <w:pPr>
        <w:spacing w:after="140"/>
      </w:pPr>
      <w:r>
        <w:rPr>
          <w:sz w:val="24"/>
          <w:szCs w:val="24"/>
        </w:rPr>
        <w:t xml:space="preserve">Connexion technique Mastercard</w:t>
      </w:r>
    </w:p>
    <w:p>
      <w:pPr>
        <w:spacing w:after="140"/>
      </w:pPr>
      <w:r>
        <w:rPr>
          <w:sz w:val="24"/>
          <w:szCs w:val="24"/>
        </w:rPr>
        <w:t xml:space="preserve">QNB et acceptation internationale</w:t>
      </w:r>
    </w:p>
    <w:p>
      <w:pPr>
        <w:spacing w:after="140"/>
      </w:pPr>
      <w:r>
        <w:rPr>
          <w:sz w:val="24"/>
          <w:szCs w:val="24"/>
        </w:rPr>
        <w:t xml:space="preserve">Choix de devise des remises</w:t>
      </w:r>
    </w:p>
    <w:p>
      <w:pPr>
        <w:spacing w:after="140"/>
      </w:pPr>
      <w:r>
        <w:rPr>
          <w:sz w:val="24"/>
          <w:szCs w:val="24"/>
        </w:rPr>
        <w:t xml:space="preserve">Stratégie 2026–2030</w:t>
      </w:r>
    </w:p>
    <w:p>
      <w:pPr>
        <w:spacing w:after="140"/>
      </w:pPr>
      <w:r>
        <w:rPr>
          <w:sz w:val="24"/>
          <w:szCs w:val="24"/>
        </w:rPr>
        <w:t xml:space="preserve">Questions fréquentes</w:t>
      </w:r>
    </w:p>
    <w:p>
      <w:pPr>
        <w:spacing w:after="140"/>
      </w:pPr>
      <w:r>
        <w:rPr>
          <w:sz w:val="24"/>
          <w:szCs w:val="24"/>
        </w:rPr>
        <w:t xml:space="preserve">Conclusion</w:t>
      </w:r>
    </w:p>
    <w:p>
      <w:pPr>
        <w:spacing w:after="140"/>
      </w:pPr>
      <w:r>
        <w:rPr>
          <w:sz w:val="24"/>
          <w:szCs w:val="24"/>
        </w:rPr>
        <w:t xml:space="preserve">Un bon paiement combine identité vérifiée, canal agréé, devise et frais compris, référence traçable, règlement effectif et rapprochement comptable.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Banques et paiements en Syrie en 2026 : comptes, transferts, cartes et sécurité</dc:title>
  <dc:creator>Bsouria Editorial</dc:creator>
  <cp:lastModifiedBy>Bsouria</cp:lastModifiedBy>
  <dcterms:created xsi:type="dcterms:W3CDTF">2026-09-15T14:27:00Z</dcterms:created>
</cp:coreProperties>
</file>