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Taxes and Fees in Syria 2026: A Practical Guide for Businesses and Individuals</w:t>
      </w:r>
    </w:p>
    <w:p>
      <w:pPr/>
      <w:r>
        <w:rPr>
          <w:i/>
          <w:color w:val="64736B"/>
        </w:rPr>
        <w:t>Bsouria Editorial Team · 2026-07-26</w:t>
      </w:r>
    </w:p>
    <w:p>
      <w:pPr>
        <w:spacing w:after="220"/>
      </w:pPr>
      <w:r>
        <w:rPr>
          <w:i/>
        </w:rPr>
        <w:t>An updated guide to income, payroll, property and stamp taxes, licence fees, the importer tax advance, compliance, audits, objections and practical checks.</w:t>
      </w:r>
    </w:p>
    <w:p>
      <w:pPr>
        <w:spacing w:after="140"/>
      </w:pPr>
      <w:r>
        <w:rPr>
          <w:sz w:val="24"/>
          <w:szCs w:val="24"/>
        </w:rPr>
        <w:t xml:space="preserve">Taxes and fees are not merely a year-end calculation. They influence the legal form of a business, pricing, contracts, imports, payroll, property transactions and the distribution of profit. The word “tax” is often used for very different amounts: income tax, a fee, a payment on account, withholding, a penalty or a service charge. Good compliance therefore begins by identifying the exact legal name of the amount, who must pay it, when it becomes due and how payment is proved.</w:t>
      </w:r>
    </w:p>
    <w:p>
      <w:pPr>
        <w:spacing w:after="140"/>
      </w:pPr>
      <w:r>
        <w:rPr>
          <w:sz w:val="24"/>
          <w:szCs w:val="24"/>
        </w:rPr>
        <w:t xml:space="preserve">Last editorial review: 25 July 2026. Syria’s tax system is undergoing rapid legislative and digital reform. During 2026, the Ministry of Finance stated that legal instruments concerning a unified income tax, sales tax, real-estate sales tax and stamp duty were being prepared or completed. Do not rely on a rate, deadline or form until it is confirmed by the General Commission for Taxes and Fees or the competent finance directorate.</w:t>
      </w:r>
    </w:p>
    <w:p>
      <w:pPr>
        <w:spacing w:after="140"/>
      </w:pPr>
      <w:r>
        <w:rPr>
          <w:sz w:val="24"/>
          <w:szCs w:val="24"/>
        </w:rPr>
        <w:t xml:space="preserve">What is this guide designed to do?</w:t>
      </w:r>
    </w:p>
    <w:p>
      <w:pPr>
        <w:spacing w:after="140"/>
      </w:pPr>
      <w:r>
        <w:rPr>
          <w:sz w:val="24"/>
          <w:szCs w:val="24"/>
        </w:rPr>
        <w:t xml:space="preserve">This is a practical map for individuals, professionals, traders, companies and investors who need to understand Syrian taxes without treating an old rate table as permanent law. The burden depends on legal form, actual activity, accounting method, location, property transactions, imports and employment.</w:t>
      </w:r>
    </w:p>
    <w:p>
      <w:pPr>
        <w:spacing w:after="140"/>
      </w:pPr>
      <w:r>
        <w:rPr>
          <w:sz w:val="24"/>
          <w:szCs w:val="24"/>
        </w:rPr>
        <w:t xml:space="preserve">Before starting a new activity, review the business opportunity due-diligence checklist and look for accountants, advisers and service providers in the Business Directory. Follow the Taxes &amp; Fees category and practical guides for later updates.</w:t>
      </w:r>
    </w:p>
    <w:p>
      <w:pPr>
        <w:spacing w:after="140"/>
      </w:pPr>
      <w:r>
        <w:rPr>
          <w:sz w:val="24"/>
          <w:szCs w:val="24"/>
        </w:rPr>
        <w:t xml:space="preserve">Understand the legislative position in 2026</w:t>
      </w:r>
    </w:p>
    <w:p>
      <w:pPr>
        <w:spacing w:after="140"/>
      </w:pPr>
      <w:r>
        <w:rPr>
          <w:sz w:val="24"/>
          <w:szCs w:val="24"/>
        </w:rPr>
        <w:t xml:space="preserve">In March 2026, the tax authority discussed reforms covering a unified income tax, sales tax, real-estate sales tax and stamp duty, together with electronic invoicing and electronic payment. In April, a proposed invoicing platform linking companies to the Ministry of Finance through the tax number and commercial register was presented. The practical conclusion is that old provisions may remain in force until a new law, its executive instructions and its effective date are formally issued.</w:t>
      </w:r>
    </w:p>
    <w:p>
      <w:pPr>
        <w:spacing w:after="140"/>
      </w:pPr>
      <w:r>
        <w:rPr>
          <w:sz w:val="24"/>
          <w:szCs w:val="24"/>
        </w:rPr>
        <w:t xml:space="preserve">Always distinguish a draft, an enacted law, an implementing decision and an interpretive circular. A policy announcement is not automatically an enforceable obligation. Start with the General Commission for Taxes and Fees and the latest Ministry of Finance publication.</w:t>
      </w:r>
    </w:p>
    <w:p>
      <w:pPr>
        <w:spacing w:after="140"/>
      </w:pPr>
      <w:r>
        <w:rPr>
          <w:sz w:val="24"/>
          <w:szCs w:val="24"/>
        </w:rPr>
        <w:t xml:space="preserve">Tax, fee, advance and penalty are not the same</w:t>
      </w:r>
    </w:p>
    <w:p>
      <w:pPr>
        <w:spacing w:after="140"/>
      </w:pPr>
      <w:r>
        <w:rPr>
          <w:sz w:val="24"/>
          <w:szCs w:val="24"/>
        </w:rPr>
        <w:t xml:space="preserve">Tax</w:t>
      </w:r>
    </w:p>
    <w:p>
      <w:pPr>
        <w:spacing w:after="140"/>
      </w:pPr>
      <w:r>
        <w:rPr>
          <w:sz w:val="24"/>
          <w:szCs w:val="24"/>
        </w:rPr>
        <w:t xml:space="preserve">A compulsory amount imposed on income, profit, a transaction or another taxable event. It may be a direct tax on income or a tax linked to sales, consumption or property.</w:t>
      </w:r>
    </w:p>
    <w:p>
      <w:pPr>
        <w:spacing w:after="140"/>
      </w:pPr>
      <w:r>
        <w:rPr>
          <w:sz w:val="24"/>
          <w:szCs w:val="24"/>
        </w:rPr>
        <w:t xml:space="preserve">Fee</w:t>
      </w:r>
    </w:p>
    <w:p>
      <w:pPr>
        <w:spacing w:after="140"/>
      </w:pPr>
      <w:r>
        <w:rPr>
          <w:sz w:val="24"/>
          <w:szCs w:val="24"/>
        </w:rPr>
        <w:t xml:space="preserve">An amount commonly linked to a document, registration, licence or public service. Its calculation, collector and receipt may differ from those of income tax.</w:t>
      </w:r>
    </w:p>
    <w:p>
      <w:pPr>
        <w:spacing w:after="140"/>
      </w:pPr>
      <w:r>
        <w:rPr>
          <w:sz w:val="24"/>
          <w:szCs w:val="24"/>
        </w:rPr>
        <w:t xml:space="preserve">Tax advance</w:t>
      </w:r>
    </w:p>
    <w:p>
      <w:pPr>
        <w:spacing w:after="140"/>
      </w:pPr>
      <w:r>
        <w:rPr>
          <w:sz w:val="24"/>
          <w:szCs w:val="24"/>
        </w:rPr>
        <w:t xml:space="preserve">A payment on account that is later credited against a final assessment. It affects cash flow immediately but should not automatically be recorded as a final expense.</w:t>
      </w:r>
    </w:p>
    <w:p>
      <w:pPr>
        <w:spacing w:after="140"/>
      </w:pPr>
      <w:r>
        <w:rPr>
          <w:sz w:val="24"/>
          <w:szCs w:val="24"/>
        </w:rPr>
        <w:t xml:space="preserve">Interest or penalty</w:t>
      </w:r>
    </w:p>
    <w:p>
      <w:pPr>
        <w:spacing w:after="140"/>
      </w:pPr>
      <w:r>
        <w:rPr>
          <w:sz w:val="24"/>
          <w:szCs w:val="24"/>
        </w:rPr>
        <w:t xml:space="preserve">An additional amount caused by delay, failure to file or another breach. A deadline calendar and complete evidence can prevent many penalties.</w:t>
      </w:r>
    </w:p>
    <w:p>
      <w:pPr>
        <w:spacing w:after="140"/>
      </w:pPr>
      <w:r>
        <w:rPr>
          <w:sz w:val="24"/>
          <w:szCs w:val="24"/>
        </w:rPr>
        <w:t xml:space="preserve">Who is the taxpayer?</w:t>
      </w:r>
    </w:p>
    <w:p>
      <w:pPr>
        <w:spacing w:after="140"/>
      </w:pPr>
      <w:r>
        <w:rPr>
          <w:sz w:val="24"/>
          <w:szCs w:val="24"/>
        </w:rPr>
        <w:t xml:space="preserve">The taxpayer may be an individual, professional, sole establishment, company, employer, property owner or importer. Ask five questions: what is the legal form, what is the real activity, where is it carried out, how are income and costs evidenced, and is there an additional event such as importing, hiring or selling property?</w:t>
      </w:r>
    </w:p>
    <w:p>
      <w:pPr>
        <w:spacing w:after="140"/>
      </w:pPr>
      <w:r>
        <w:rPr>
          <w:sz w:val="24"/>
          <w:szCs w:val="24"/>
        </w:rPr>
        <w:t xml:space="preserve">Company registration does not settle every obligation. Licences, tax, social insurance, stamp duty, municipal charges and customs may involve separate authorities. Create an obligations map showing the authority, deadline, document and person responsible for each item.</w:t>
      </w:r>
    </w:p>
    <w:p>
      <w:pPr>
        <w:spacing w:after="140"/>
      </w:pPr>
      <w:r>
        <w:rPr>
          <w:sz w:val="24"/>
          <w:szCs w:val="24"/>
        </w:rPr>
        <w:t xml:space="preserve">Before forming a company</w:t>
      </w:r>
    </w:p>
    <w:p>
      <w:pPr>
        <w:spacing w:after="140"/>
      </w:pPr>
      <w:r>
        <w:rPr>
          <w:sz w:val="24"/>
          <w:szCs w:val="24"/>
        </w:rPr>
        <w:t xml:space="preserve">Compare legal forms by governance, liability, accounting and profit distribution—not only by the initial registration fee. A cheap formation choice can become expensive when the business grows or takes on investors.</w:t>
      </w:r>
    </w:p>
    <w:p>
      <w:pPr>
        <w:spacing w:after="140"/>
      </w:pPr>
      <w:r>
        <w:rPr>
          <w:sz w:val="24"/>
          <w:szCs w:val="24"/>
        </w:rPr>
        <w:t xml:space="preserve">Request a written estimate covering registration, operating licences, chamber subscriptions where applicable, accounting, invoicing, payroll and expected tax under realistic revenue scenarios. Search the Business Directory for service providers or publish your company with clear, verifiable information.</w:t>
      </w:r>
    </w:p>
    <w:p>
      <w:pPr>
        <w:spacing w:after="140"/>
      </w:pPr>
      <w:r>
        <w:rPr>
          <w:sz w:val="24"/>
          <w:szCs w:val="24"/>
        </w:rPr>
        <w:t xml:space="preserve">Income and profit taxation</w:t>
      </w:r>
    </w:p>
    <w:p>
      <w:pPr>
        <w:spacing w:after="140"/>
      </w:pPr>
      <w:r>
        <w:rPr>
          <w:sz w:val="24"/>
          <w:szCs w:val="24"/>
        </w:rPr>
        <w:t xml:space="preserve">Historically, Syrian taxation has included categories such as real-profit taxpayers, lump-sum taxpayers and salary-and-wage taxation. Authorities announced work on a unified income tax in 2026. The safe approach is to ask which current category and rules apply to the exact activity rather than copying a percentage from an old article.</w:t>
      </w:r>
    </w:p>
    <w:p>
      <w:pPr>
        <w:spacing w:after="140"/>
      </w:pPr>
      <w:r>
        <w:rPr>
          <w:sz w:val="24"/>
          <w:szCs w:val="24"/>
        </w:rPr>
        <w:t xml:space="preserve">Real profits</w:t>
      </w:r>
    </w:p>
    <w:p>
      <w:pPr>
        <w:spacing w:after="140"/>
      </w:pPr>
      <w:r>
        <w:rPr>
          <w:sz w:val="24"/>
          <w:szCs w:val="24"/>
        </w:rPr>
        <w:t xml:space="preserve">This approach depends on revenue, allowable costs and results supported by books and evidence. Contracts, invoices, bank movements and stock records should tell the same story. Paying a cost does not necessarily make it deductible; it must relate to the activity and satisfy the applicable evidence rules.</w:t>
      </w:r>
    </w:p>
    <w:p>
      <w:pPr>
        <w:spacing w:after="140"/>
      </w:pPr>
      <w:r>
        <w:rPr>
          <w:sz w:val="24"/>
          <w:szCs w:val="24"/>
        </w:rPr>
        <w:t xml:space="preserve">Lump-sum or estimated income</w:t>
      </w:r>
    </w:p>
    <w:p>
      <w:pPr>
        <w:spacing w:after="140"/>
      </w:pPr>
      <w:r>
        <w:rPr>
          <w:sz w:val="24"/>
          <w:szCs w:val="24"/>
        </w:rPr>
        <w:t xml:space="preserve">Classification may depend on activity, location, size and other indicators. Verify that the profession and operating facts are correctly recorded and object promptly if they are not.</w:t>
      </w:r>
    </w:p>
    <w:p>
      <w:pPr>
        <w:spacing w:after="140"/>
      </w:pPr>
      <w:r>
        <w:rPr>
          <w:sz w:val="24"/>
          <w:szCs w:val="24"/>
        </w:rPr>
        <w:t xml:space="preserve">Salaries and wages</w:t>
      </w:r>
    </w:p>
    <w:p>
      <w:pPr>
        <w:spacing w:after="140"/>
      </w:pPr>
      <w:r>
        <w:rPr>
          <w:sz w:val="24"/>
          <w:szCs w:val="24"/>
        </w:rPr>
        <w:t xml:space="preserve">Employers must coordinate payroll calculations, withholding, filings, social-insurance records and employment contracts. Differences between payroll, bank transfers and staff records create audit risk.</w:t>
      </w:r>
    </w:p>
    <w:p>
      <w:pPr>
        <w:spacing w:after="140"/>
      </w:pPr>
      <w:r>
        <w:rPr>
          <w:sz w:val="24"/>
          <w:szCs w:val="24"/>
        </w:rPr>
        <w:t xml:space="preserve">Sales tax and consumption charges</w:t>
      </w:r>
    </w:p>
    <w:p>
      <w:pPr>
        <w:spacing w:after="140"/>
      </w:pPr>
      <w:r>
        <w:rPr>
          <w:sz w:val="24"/>
          <w:szCs w:val="24"/>
        </w:rPr>
        <w:t xml:space="preserve">A new sales-tax instrument was described as part of the 2026 reform programme. It is therefore unsafe to assume that a comprehensive VAT applies merely because the term is used in public discussion. Confirm whether the law has been enacted, the effective date, registration thresholds, exemptions and transitional rules.</w:t>
      </w:r>
    </w:p>
    <w:p>
      <w:pPr>
        <w:spacing w:after="140"/>
      </w:pPr>
      <w:r>
        <w:rPr>
          <w:sz w:val="24"/>
          <w:szCs w:val="24"/>
        </w:rPr>
        <w:t xml:space="preserve">Until the new framework is clear, distinguish existing consumption or sector charges from a future sales tax. Contracts should state whether prices include taxes and fees and who bears a legislative change before delivery.</w:t>
      </w:r>
    </w:p>
    <w:p>
      <w:pPr>
        <w:spacing w:after="140"/>
      </w:pPr>
      <w:r>
        <w:rPr>
          <w:sz w:val="24"/>
          <w:szCs w:val="24"/>
        </w:rPr>
        <w:t xml:space="preserve">The 2026 importer tax advance and clearance certificate</w:t>
      </w:r>
    </w:p>
    <w:p>
      <w:pPr>
        <w:spacing w:after="140"/>
      </w:pPr>
      <w:r>
        <w:rPr>
          <w:sz w:val="24"/>
          <w:szCs w:val="24"/>
        </w:rPr>
        <w:t xml:space="preserve">An official announcement dated 24 March 2026 introduced a 2% income-tax advance for importers using the basis stated in the decision, effective from 1 April 2026. The Ministry described it as a payment on account to be credited later, not a new final tax. A valid tax-clearance certificate was also required for customs import procedures from 1 July 2026.</w:t>
      </w:r>
    </w:p>
    <w:p>
      <w:pPr>
        <w:spacing w:after="140"/>
      </w:pPr>
      <w:r>
        <w:rPr>
          <w:sz w:val="24"/>
          <w:szCs w:val="24"/>
        </w:rPr>
        <w:t xml:space="preserve">Importers should reconcile the legal name, tax number, commercial register, customs declaration and receipt. Record the advance as a credit pending settlement, while budgeting its cash-flow effect. See the Syria import and export guide because the tax basis is linked to invoices, customs values and clearance.</w:t>
      </w:r>
    </w:p>
    <w:p>
      <w:pPr>
        <w:spacing w:after="140"/>
      </w:pPr>
      <w:r>
        <w:rPr>
          <w:sz w:val="24"/>
          <w:szCs w:val="24"/>
        </w:rPr>
        <w:t xml:space="preserve">Property taxes and transaction fees</w:t>
      </w:r>
    </w:p>
    <w:p>
      <w:pPr>
        <w:spacing w:after="140"/>
      </w:pPr>
      <w:r>
        <w:rPr>
          <w:sz w:val="24"/>
          <w:szCs w:val="24"/>
        </w:rPr>
        <w:t xml:space="preserve">A property transaction may involve tax on the sale, transfer and registration fees, stamp duty, rental-income obligations and tax clearance. Law 15 of 2021 used administratively assessed current property values and differentiated by property type, while real-estate tax reform was again discussed in 2026.</w:t>
      </w:r>
    </w:p>
    <w:p>
      <w:pPr>
        <w:spacing w:after="140"/>
      </w:pPr>
      <w:r>
        <w:rPr>
          <w:sz w:val="24"/>
          <w:szCs w:val="24"/>
        </w:rPr>
        <w:t xml:space="preserve">Before paying a deposit, obtain a current written calculation from the competent authority and state in the contract who bears each item. Do not rely only on the private sale price. Review the Real Estate articles before an investment purchase.</w:t>
      </w:r>
    </w:p>
    <w:p>
      <w:pPr>
        <w:spacing w:after="140"/>
      </w:pPr>
      <w:r>
        <w:rPr>
          <w:sz w:val="24"/>
          <w:szCs w:val="24"/>
        </w:rPr>
        <w:t xml:space="preserve">Stamp duty and contracts</w:t>
      </w:r>
    </w:p>
    <w:p>
      <w:pPr>
        <w:spacing w:after="140"/>
      </w:pPr>
      <w:r>
        <w:rPr>
          <w:sz w:val="24"/>
          <w:szCs w:val="24"/>
        </w:rPr>
        <w:t xml:space="preserve">Stamp duty can attach to contracts, documents and official use according to their type and value. A common mistake is signing first and discovering later that formal use requires duty and a penalty. Confirm the basis, taxable copies, deadline and responsible party before execution.</w:t>
      </w:r>
    </w:p>
    <w:p>
      <w:pPr>
        <w:spacing w:after="140"/>
      </w:pPr>
      <w:r>
        <w:rPr>
          <w:sz w:val="24"/>
          <w:szCs w:val="24"/>
        </w:rPr>
        <w:t xml:space="preserve">A contract can allocate cost between the parties but may not change who is legally liable to the treasury. Keep the certified contract, payment evidence and transaction number.</w:t>
      </w:r>
    </w:p>
    <w:p>
      <w:pPr>
        <w:spacing w:after="140"/>
      </w:pPr>
      <w:r>
        <w:rPr>
          <w:sz w:val="24"/>
          <w:szCs w:val="24"/>
        </w:rPr>
        <w:t xml:space="preserve">Local and sector-specific fees</w:t>
      </w:r>
    </w:p>
    <w:p>
      <w:pPr>
        <w:spacing w:after="140"/>
      </w:pPr>
      <w:r>
        <w:rPr>
          <w:sz w:val="24"/>
          <w:szCs w:val="24"/>
        </w:rPr>
        <w:t xml:space="preserve">Municipal, professional, health, advertising, environmental, tourism and other licences may apply according to activity and location. A food shop, factory, warehouse, office and tourism establishment do not follow the same licensing path.</w:t>
      </w:r>
    </w:p>
    <w:p>
      <w:pPr>
        <w:spacing w:after="140"/>
      </w:pPr>
      <w:r>
        <w:rPr>
          <w:sz w:val="24"/>
          <w:szCs w:val="24"/>
        </w:rPr>
        <w:t xml:space="preserve">Separate one-off charges from recurring renewals. Confirm licence duration, inspections, renewal dates and penalties before spending heavily on premises that may not be eligible for the intended use.</w:t>
      </w:r>
    </w:p>
    <w:p>
      <w:pPr>
        <w:spacing w:after="140"/>
      </w:pPr>
      <w:r>
        <w:rPr>
          <w:sz w:val="24"/>
          <w:szCs w:val="24"/>
        </w:rPr>
        <w:t xml:space="preserve">Social insurance is separate but affects cost</w:t>
      </w:r>
    </w:p>
    <w:p>
      <w:pPr>
        <w:spacing w:after="140"/>
      </w:pPr>
      <w:r>
        <w:rPr>
          <w:sz w:val="24"/>
          <w:szCs w:val="24"/>
        </w:rPr>
        <w:t xml:space="preserve">Payroll tax and social-insurance contributions should be calculated and recorded separately. The real cost of an employee includes employer contributions, leave, benefits and compliance—not only net salary. Poor separation causes pricing errors and inconsistent filings.</w:t>
      </w:r>
    </w:p>
    <w:p>
      <w:pPr>
        <w:spacing w:after="140"/>
      </w:pPr>
      <w:r>
        <w:rPr>
          <w:sz w:val="24"/>
          <w:szCs w:val="24"/>
        </w:rPr>
        <w:t xml:space="preserve">Books, invoices and evidence</w:t>
      </w:r>
    </w:p>
    <w:p>
      <w:pPr>
        <w:spacing w:after="140"/>
      </w:pPr>
      <w:r>
        <w:rPr>
          <w:sz w:val="24"/>
          <w:szCs w:val="24"/>
        </w:rPr>
        <w:t xml:space="preserve">The best tax defence is a reliable file created before an assessment. Retain contracts, sales and purchase invoices, receipts, bank statements, inventory records, customs declarations, payroll, leases, asset records and correspondence explaining unusual transactions.</w:t>
      </w:r>
    </w:p>
    <w:p>
      <w:pPr>
        <w:spacing w:after="140"/>
      </w:pPr>
      <w:r>
        <w:rPr>
          <w:sz w:val="24"/>
          <w:szCs w:val="24"/>
        </w:rPr>
        <w:t xml:space="preserve">Use sequential invoice numbers and preserve a cancellation trail. Reconcile sales with collections and inventory, and purchases with suppliers, payment and receipt of goods. As electronic invoicing develops, clean customer data, tax numbers and commercial-register data become more important.</w:t>
      </w:r>
    </w:p>
    <w:p>
      <w:pPr>
        <w:spacing w:after="140"/>
      </w:pPr>
      <w:r>
        <w:rPr>
          <w:sz w:val="24"/>
          <w:szCs w:val="24"/>
        </w:rPr>
        <w:t xml:space="preserve">Electronic invoicing and digitalisation</w:t>
      </w:r>
    </w:p>
    <w:p>
      <w:pPr>
        <w:spacing w:after="140"/>
      </w:pPr>
      <w:r>
        <w:rPr>
          <w:sz w:val="24"/>
          <w:szCs w:val="24"/>
        </w:rPr>
        <w:t xml:space="preserve">In April 2026, the Ministry presented a system intended to connect companies through their tax number and commercial register. This did not necessarily impose identical requirements on every taxpayer immediately, but it clearly points toward more automated data matching.</w:t>
      </w:r>
    </w:p>
    <w:p>
      <w:pPr>
        <w:spacing w:after="140"/>
      </w:pPr>
      <w:r>
        <w:rPr>
          <w:sz w:val="24"/>
          <w:szCs w:val="24"/>
        </w:rPr>
        <w:t xml:space="preserve">Your system should preserve an auditable invoice, creation date, customer identity, description, quantity, price, discount and applicable fees. Limit user permissions and maintain backups. Weak accounting software can produce tax differences even where there is no intent to evade.</w:t>
      </w:r>
    </w:p>
    <w:p>
      <w:pPr>
        <w:spacing w:after="140"/>
      </w:pPr>
      <w:r>
        <w:rPr>
          <w:sz w:val="24"/>
          <w:szCs w:val="24"/>
        </w:rPr>
        <w:t xml:space="preserve">Build a tax calendar</w:t>
      </w:r>
    </w:p>
    <w:p>
      <w:pPr>
        <w:spacing w:after="140"/>
      </w:pPr>
      <w:r>
        <w:rPr>
          <w:sz w:val="24"/>
          <w:szCs w:val="24"/>
        </w:rPr>
        <w:t xml:space="preserve">Maintain annual and monthly filing, payment, renewal and clearance deadlines. A one-off official extension should never be treated as permanent. Record the original deadline, any published extension, required documents, responsible employee and receipt number.</w:t>
      </w:r>
    </w:p>
    <w:p>
      <w:pPr>
        <w:spacing w:after="140"/>
      </w:pPr>
      <w:r>
        <w:rPr>
          <w:sz w:val="24"/>
          <w:szCs w:val="24"/>
        </w:rPr>
        <w:t xml:space="preserve">Obligation and competent authority.</w:t>
      </w:r>
    </w:p>
    <w:p>
      <w:pPr>
        <w:spacing w:after="140"/>
      </w:pPr>
      <w:r>
        <w:rPr>
          <w:sz w:val="24"/>
          <w:szCs w:val="24"/>
        </w:rPr>
        <w:t xml:space="preserve">Period covered.</w:t>
      </w:r>
    </w:p>
    <w:p>
      <w:pPr>
        <w:spacing w:after="140"/>
      </w:pPr>
      <w:r>
        <w:rPr>
          <w:sz w:val="24"/>
          <w:szCs w:val="24"/>
        </w:rPr>
        <w:t xml:space="preserve">Original and extended deadline.</w:t>
      </w:r>
    </w:p>
    <w:p>
      <w:pPr>
        <w:spacing w:after="140"/>
      </w:pPr>
      <w:r>
        <w:rPr>
          <w:sz w:val="24"/>
          <w:szCs w:val="24"/>
        </w:rPr>
        <w:t xml:space="preserve">Supporting documents.</w:t>
      </w:r>
    </w:p>
    <w:p>
      <w:pPr>
        <w:spacing w:after="140"/>
      </w:pPr>
      <w:r>
        <w:rPr>
          <w:sz w:val="24"/>
          <w:szCs w:val="24"/>
        </w:rPr>
        <w:t xml:space="preserve">Proof of submission and payment.</w:t>
      </w:r>
    </w:p>
    <w:p>
      <w:pPr>
        <w:spacing w:after="140"/>
      </w:pPr>
      <w:r>
        <w:rPr>
          <w:sz w:val="24"/>
          <w:szCs w:val="24"/>
        </w:rPr>
        <w:t xml:space="preserve">Tax-clearance certificates</w:t>
      </w:r>
    </w:p>
    <w:p>
      <w:pPr>
        <w:spacing w:after="140"/>
      </w:pPr>
      <w:r>
        <w:rPr>
          <w:sz w:val="24"/>
          <w:szCs w:val="24"/>
        </w:rPr>
        <w:t xml:space="preserve">A clearance certificate can be required for imports, property and other transactions, but it may not close every year or prevent a later audit. Read its scope, validity and issuing authority, and verify the identity and activity shown.</w:t>
      </w:r>
    </w:p>
    <w:p>
      <w:pPr>
        <w:spacing w:after="140"/>
      </w:pPr>
      <w:r>
        <w:rPr>
          <w:sz w:val="24"/>
          <w:szCs w:val="24"/>
        </w:rPr>
        <w:t xml:space="preserve">Request it early. In a company purchase, do not rely on one certificate alone. Apply the business and legal verification guide and review open years, objections and potential penalties.</w:t>
      </w:r>
    </w:p>
    <w:p>
      <w:pPr>
        <w:spacing w:after="140"/>
      </w:pPr>
      <w:r>
        <w:rPr>
          <w:sz w:val="24"/>
          <w:szCs w:val="24"/>
        </w:rPr>
        <w:t xml:space="preserve">Preparing for an audit</w:t>
      </w:r>
    </w:p>
    <w:p>
      <w:pPr>
        <w:spacing w:after="140"/>
      </w:pPr>
      <w:r>
        <w:rPr>
          <w:sz w:val="24"/>
          <w:szCs w:val="24"/>
        </w:rPr>
        <w:t xml:space="preserve">Audits commonly compare sales with invoices, inventory with purchases, imports with customs data and payroll with employee records. An unexplained inconsistency is more damaging than a high but well-supported figure.</w:t>
      </w:r>
    </w:p>
    <w:p>
      <w:pPr>
        <w:spacing w:after="140"/>
      </w:pPr>
      <w:r>
        <w:rPr>
          <w:sz w:val="24"/>
          <w:szCs w:val="24"/>
        </w:rPr>
        <w:t xml:space="preserve">Nominate one contact person, record what is delivered and request copies of signed records. Do not sign a report you do not understand. Obtain specialist advice before an objection deadline expires.</w:t>
      </w:r>
    </w:p>
    <w:p>
      <w:pPr>
        <w:spacing w:after="140"/>
      </w:pPr>
      <w:r>
        <w:rPr>
          <w:sz w:val="24"/>
          <w:szCs w:val="24"/>
        </w:rPr>
        <w:t xml:space="preserve">Objections and appeals</w:t>
      </w:r>
    </w:p>
    <w:p>
      <w:pPr>
        <w:spacing w:after="140"/>
      </w:pPr>
      <w:r>
        <w:rPr>
          <w:sz w:val="24"/>
          <w:szCs w:val="24"/>
        </w:rPr>
        <w:t xml:space="preserve">An objection is a formal right governed by procedures and time limits. Identify the notification date, assessment basis, filing method, any payment or deposit requirement and the competent committee. Evidence must address the actual disputed point.</w:t>
      </w:r>
    </w:p>
    <w:p>
      <w:pPr>
        <w:spacing w:after="140"/>
      </w:pPr>
      <w:r>
        <w:rPr>
          <w:sz w:val="24"/>
          <w:szCs w:val="24"/>
        </w:rPr>
        <w:t xml:space="preserve">A sales dispute needs invoices, collections and inventory reconciliation; a property dispute needs ownership and valuation evidence; an activity-classification dispute needs licences and operating facts. “The amount is too high” is not evidence.</w:t>
      </w:r>
    </w:p>
    <w:p>
      <w:pPr>
        <w:spacing w:after="140"/>
      </w:pPr>
      <w:r>
        <w:rPr>
          <w:sz w:val="24"/>
          <w:szCs w:val="24"/>
        </w:rPr>
        <w:t xml:space="preserve">Avoiding penalties</w:t>
      </w:r>
    </w:p>
    <w:p>
      <w:pPr>
        <w:spacing w:after="140"/>
      </w:pPr>
      <w:r>
        <w:rPr>
          <w:sz w:val="24"/>
          <w:szCs w:val="24"/>
        </w:rPr>
        <w:t xml:space="preserve">Register changes in activity, address and ownership promptly.</w:t>
      </w:r>
    </w:p>
    <w:p>
      <w:pPr>
        <w:spacing w:after="140"/>
      </w:pPr>
      <w:r>
        <w:rPr>
          <w:sz w:val="24"/>
          <w:szCs w:val="24"/>
        </w:rPr>
        <w:t xml:space="preserve">File required returns even when activity is weak or loss-making.</w:t>
      </w:r>
    </w:p>
    <w:p>
      <w:pPr>
        <w:spacing w:after="140"/>
      </w:pPr>
      <w:r>
        <w:rPr>
          <w:sz w:val="24"/>
          <w:szCs w:val="24"/>
        </w:rPr>
        <w:t xml:space="preserve">Do not use another entity’s invoices or personal accounts to hide company activity.</w:t>
      </w:r>
    </w:p>
    <w:p>
      <w:pPr>
        <w:spacing w:after="140"/>
      </w:pPr>
      <w:r>
        <w:rPr>
          <w:sz w:val="24"/>
          <w:szCs w:val="24"/>
        </w:rPr>
        <w:t xml:space="preserve">Reconcile bank, cash, inventory and opening balances before year-end.</w:t>
      </w:r>
    </w:p>
    <w:p>
      <w:pPr>
        <w:spacing w:after="140"/>
      </w:pPr>
      <w:r>
        <w:rPr>
          <w:sz w:val="24"/>
          <w:szCs w:val="24"/>
        </w:rPr>
        <w:t xml:space="preserve">Keep proof of every filing and payment.</w:t>
      </w:r>
    </w:p>
    <w:p>
      <w:pPr>
        <w:spacing w:after="140"/>
      </w:pPr>
      <w:r>
        <w:rPr>
          <w:sz w:val="24"/>
          <w:szCs w:val="24"/>
        </w:rPr>
        <w:t xml:space="preserve">Follow official publications, not anonymous messages.</w:t>
      </w:r>
    </w:p>
    <w:p>
      <w:pPr>
        <w:spacing w:after="140"/>
      </w:pPr>
      <w:r>
        <w:rPr>
          <w:sz w:val="24"/>
          <w:szCs w:val="24"/>
        </w:rPr>
        <w:t xml:space="preserve">Legitimate tax planning versus evasion</w:t>
      </w:r>
    </w:p>
    <w:p>
      <w:pPr>
        <w:spacing w:after="140"/>
      </w:pPr>
      <w:r>
        <w:rPr>
          <w:sz w:val="24"/>
          <w:szCs w:val="24"/>
        </w:rPr>
        <w:t xml:space="preserve">Legitimate planning uses an appropriate structure, a valid exemption, proper timing and documented deductions. Evasion hides revenue, uses fictitious invoices or a sham importer, or supplies misleading information.</w:t>
      </w:r>
    </w:p>
    <w:p>
      <w:pPr>
        <w:spacing w:after="140"/>
      </w:pPr>
      <w:r>
        <w:rPr>
          <w:sz w:val="24"/>
          <w:szCs w:val="24"/>
        </w:rPr>
        <w:t xml:space="preserve">Ask advisers to provide the legal basis in writing. A proposal that works only because the transaction will not be visible is a risk, not planning. Good tax standing helps with imports, banking, partners and clearance certificates.</w:t>
      </w:r>
    </w:p>
    <w:p>
      <w:pPr>
        <w:spacing w:after="140"/>
      </w:pPr>
      <w:r>
        <w:rPr>
          <w:sz w:val="24"/>
          <w:szCs w:val="24"/>
        </w:rPr>
        <w:t xml:space="preserve">Pricing for tax and cash flow</w:t>
      </w:r>
    </w:p>
    <w:p>
      <w:pPr>
        <w:spacing w:after="140"/>
      </w:pPr>
      <w:r>
        <w:rPr>
          <w:sz w:val="24"/>
          <w:szCs w:val="24"/>
        </w:rPr>
        <w:t xml:space="preserve">Start with the pre-tax selling price, then add direct fees, compliance cost, advances that affect cash flow and a contingency for long contracts. A creditable advance is not automatically a final expense, but it can still tie up cash until settlement.</w:t>
      </w:r>
    </w:p>
    <w:p>
      <w:pPr>
        <w:spacing w:after="140"/>
      </w:pPr>
      <w:r>
        <w:rPr>
          <w:sz w:val="24"/>
          <w:szCs w:val="24"/>
        </w:rPr>
        <w:t xml:space="preserve">Simple cost model:Product or service cost.</w:t>
      </w:r>
    </w:p>
    <w:p>
      <w:pPr>
        <w:spacing w:after="140"/>
      </w:pPr>
      <w:r>
        <w:rPr>
          <w:sz w:val="24"/>
          <w:szCs w:val="24"/>
        </w:rPr>
        <w:t xml:space="preserve">Freight, customs and clearance.</w:t>
      </w:r>
    </w:p>
    <w:p>
      <w:pPr>
        <w:spacing w:after="140"/>
      </w:pPr>
      <w:r>
        <w:rPr>
          <w:sz w:val="24"/>
          <w:szCs w:val="24"/>
        </w:rPr>
        <w:t xml:space="preserve">Licences, fees and stamp duty.</w:t>
      </w:r>
    </w:p>
    <w:p>
      <w:pPr>
        <w:spacing w:after="140"/>
      </w:pPr>
      <w:r>
        <w:rPr>
          <w:sz w:val="24"/>
          <w:szCs w:val="24"/>
        </w:rPr>
        <w:t xml:space="preserve">Payroll, insurance and administration.</w:t>
      </w:r>
    </w:p>
    <w:p>
      <w:pPr>
        <w:spacing w:after="140"/>
      </w:pPr>
      <w:r>
        <w:rPr>
          <w:sz w:val="24"/>
          <w:szCs w:val="24"/>
        </w:rPr>
        <w:t xml:space="preserve">Expected tax on profit.</w:t>
      </w:r>
    </w:p>
    <w:p>
      <w:pPr>
        <w:spacing w:after="140"/>
      </w:pPr>
      <w:r>
        <w:rPr>
          <w:sz w:val="24"/>
          <w:szCs w:val="24"/>
        </w:rPr>
        <w:t xml:space="preserve">Contingency for delay or reassessment.</w:t>
      </w:r>
    </w:p>
    <w:p>
      <w:pPr>
        <w:spacing w:after="140"/>
      </w:pPr>
      <w:r>
        <w:rPr>
          <w:sz w:val="24"/>
          <w:szCs w:val="24"/>
        </w:rPr>
        <w:t xml:space="preserve">Tax clauses in contracts</w:t>
      </w:r>
    </w:p>
    <w:p>
      <w:pPr>
        <w:spacing w:after="140"/>
      </w:pPr>
      <w:r>
        <w:rPr>
          <w:sz w:val="24"/>
          <w:szCs w:val="24"/>
        </w:rPr>
        <w:t xml:space="preserve">State whether prices include taxes and fees, who invoices, who bears stamp duty and how a change in law is handled. For cross-border services, review tax residence, possible withholding, banking requirements and external restrictions before committing.</w:t>
      </w:r>
    </w:p>
    <w:p>
      <w:pPr>
        <w:spacing w:after="140"/>
      </w:pPr>
      <w:r>
        <w:rPr>
          <w:sz w:val="24"/>
          <w:szCs w:val="24"/>
        </w:rPr>
        <w:t xml:space="preserve">A broad clause placing “all taxes” on the other party may not alter statutory liability. The contract allocates economic cost between the parties; it does not rewrite tax law.</w:t>
      </w:r>
    </w:p>
    <w:p>
      <w:pPr>
        <w:spacing w:after="140"/>
      </w:pPr>
      <w:r>
        <w:rPr>
          <w:sz w:val="24"/>
          <w:szCs w:val="24"/>
        </w:rPr>
        <w:t xml:space="preserve">Foreign investors and non-residents</w:t>
      </w:r>
    </w:p>
    <w:p>
      <w:pPr>
        <w:spacing w:after="140"/>
      </w:pPr>
      <w:r>
        <w:rPr>
          <w:sz w:val="24"/>
          <w:szCs w:val="24"/>
        </w:rPr>
        <w:t xml:space="preserve">Review permanent establishment, source of income, profit distributions, management and licence fees, remittances and any applicable double-tax agreement. Separate company tax from the shareholder’s personal position.</w:t>
      </w:r>
    </w:p>
    <w:p>
      <w:pPr>
        <w:spacing w:after="140"/>
      </w:pPr>
      <w:r>
        <w:rPr>
          <w:sz w:val="24"/>
          <w:szCs w:val="24"/>
        </w:rPr>
        <w:t xml:space="preserve">Explore investment opportunities only after receiving a financial and legal file. You may also publish an opportunity with a clear structure and no guaranteed-return claims.</w:t>
      </w:r>
    </w:p>
    <w:p>
      <w:pPr>
        <w:spacing w:after="140"/>
      </w:pPr>
      <w:r>
        <w:rPr>
          <w:sz w:val="24"/>
          <w:szCs w:val="24"/>
        </w:rPr>
        <w:t xml:space="preserve">Small businesses and professionals</w:t>
      </w:r>
    </w:p>
    <w:p>
      <w:pPr>
        <w:spacing w:after="140"/>
      </w:pPr>
      <w:r>
        <w:rPr>
          <w:sz w:val="24"/>
          <w:szCs w:val="24"/>
        </w:rPr>
        <w:t xml:space="preserve">A small business needs discipline more than complexity: a separate account, daily record, invoice file, debtor list and periodic stock count. Mixing household and business spending hides the true result and creates disputes.</w:t>
      </w:r>
    </w:p>
    <w:p>
      <w:pPr>
        <w:spacing w:after="140"/>
      </w:pPr>
      <w:r>
        <w:rPr>
          <w:sz w:val="24"/>
          <w:szCs w:val="24"/>
        </w:rPr>
        <w:t xml:space="preserve">Review figures monthly. Rapid growth may change classification, invoicing or filing obligations, and growth without tax cash planning can create a liability larger than available funds.</w:t>
      </w:r>
    </w:p>
    <w:p>
      <w:pPr>
        <w:spacing w:after="140"/>
      </w:pPr>
      <w:r>
        <w:rPr>
          <w:sz w:val="24"/>
          <w:szCs w:val="24"/>
        </w:rPr>
        <w:t xml:space="preserve">Tax due diligence before buying a company</w:t>
      </w:r>
    </w:p>
    <w:p>
      <w:pPr>
        <w:spacing w:after="140"/>
      </w:pPr>
      <w:r>
        <w:rPr>
          <w:sz w:val="24"/>
          <w:szCs w:val="24"/>
        </w:rPr>
        <w:t xml:space="preserve">Request prior returns, assessments, receipts, objections, clearance certificates, payroll, import records and correspondence. Reconcile declared revenue with accounts, banks and stock. Examine related-party transactions and large cash expenses.</w:t>
      </w:r>
    </w:p>
    <w:p>
      <w:pPr>
        <w:spacing w:after="140"/>
      </w:pPr>
      <w:r>
        <w:rPr>
          <w:sz w:val="24"/>
          <w:szCs w:val="24"/>
        </w:rPr>
        <w:t xml:space="preserve">Use warranties, indemnities and—where appropriate—a price holdback for pre-completion liabilities. A discount does not compensate for an unlimited unknown tax exposure.</w:t>
      </w:r>
    </w:p>
    <w:p>
      <w:pPr>
        <w:spacing w:after="140"/>
      </w:pPr>
      <w:r>
        <w:rPr>
          <w:sz w:val="24"/>
          <w:szCs w:val="24"/>
        </w:rPr>
        <w:t xml:space="preserve">Review obligations by sector, not company name alone</w:t>
      </w:r>
    </w:p>
    <w:p>
      <w:pPr>
        <w:spacing w:after="140"/>
      </w:pPr>
      <w:r>
        <w:rPr>
          <w:sz w:val="24"/>
          <w:szCs w:val="24"/>
        </w:rPr>
        <w:t xml:space="preserve">Two companies with the same legal form may face different issues because one imports, while the other provides construction, tourism or digital services. Review sector licences, revenue recognition, inventory, long-term contracts and cash activity. A manufacturer must reconcile materials, production and waste; a service provider must evidence completion and the point at which revenue is earned.</w:t>
      </w:r>
    </w:p>
    <w:p>
      <w:pPr>
        <w:spacing w:after="140"/>
      </w:pPr>
      <w:r>
        <w:rPr>
          <w:sz w:val="24"/>
          <w:szCs w:val="24"/>
        </w:rPr>
        <w:t xml:space="preserve">Use the Business Directory to understand the market, but do not copy another company’s treatment without confirming its size, licence, location and contracts.</w:t>
      </w:r>
    </w:p>
    <w:p>
      <w:pPr>
        <w:spacing w:after="140"/>
      </w:pPr>
      <w:r>
        <w:rPr>
          <w:sz w:val="24"/>
          <w:szCs w:val="24"/>
        </w:rPr>
        <w:t xml:space="preserve">Choosing an accountant or tax adviser</w:t>
      </w:r>
    </w:p>
    <w:p>
      <w:pPr>
        <w:spacing w:after="140"/>
      </w:pPr>
      <w:r>
        <w:rPr>
          <w:sz w:val="24"/>
          <w:szCs w:val="24"/>
        </w:rPr>
        <w:t xml:space="preserve">Do not select an adviser because they promise the lowest assessment. Ask about sector experience, written advice, return sign-off, data protection and support during audits or objections. Define whether the engagement covers bookkeeping, review, filing, payroll, advisory work or representation.</w:t>
      </w:r>
    </w:p>
    <w:p>
      <w:pPr>
        <w:spacing w:after="140"/>
      </w:pPr>
      <w:r>
        <w:rPr>
          <w:sz w:val="24"/>
          <w:szCs w:val="24"/>
        </w:rPr>
        <w:t xml:space="preserve">Require a short monthly report showing revenue, costs, payments on account, deadlines and open risks. Management must understand what is filed in the company’s name; delegation does not remove responsibility.</w:t>
      </w:r>
    </w:p>
    <w:p>
      <w:pPr>
        <w:spacing w:after="140"/>
      </w:pPr>
      <w:r>
        <w:rPr>
          <w:sz w:val="24"/>
          <w:szCs w:val="24"/>
        </w:rPr>
        <w:t xml:space="preserve">Test consistency across public systems</w:t>
      </w:r>
    </w:p>
    <w:p>
      <w:pPr>
        <w:spacing w:after="140"/>
      </w:pPr>
      <w:r>
        <w:rPr>
          <w:sz w:val="24"/>
          <w:szCs w:val="24"/>
        </w:rPr>
        <w:t xml:space="preserve">Digital administration can compare commercial-register, invoice, customs, banking and employment information. Check the legal name, tax number, address and activity across every record. A small identity mismatch can delay clearance or the crediting of an advance.</w:t>
      </w:r>
    </w:p>
    <w:p>
      <w:pPr>
        <w:spacing w:after="140"/>
      </w:pPr>
      <w:r>
        <w:rPr>
          <w:sz w:val="24"/>
          <w:szCs w:val="24"/>
        </w:rPr>
        <w:t xml:space="preserve">Each quarter, reconcile total invoices, revenue and collections and document timing differences, returns and deposits. Perform the same exercise for purchases, stock, imports and payroll. The purpose is not forced equality; it is an evidence-based explanation.</w:t>
      </w:r>
    </w:p>
    <w:p>
      <w:pPr>
        <w:spacing w:after="140"/>
      </w:pPr>
      <w:r>
        <w:rPr>
          <w:sz w:val="24"/>
          <w:szCs w:val="24"/>
        </w:rPr>
        <w:t xml:space="preserve">A practical cash-and-tax example</w:t>
      </w:r>
    </w:p>
    <w:p>
      <w:pPr>
        <w:spacing w:after="140"/>
      </w:pPr>
      <w:r>
        <w:rPr>
          <w:sz w:val="24"/>
          <w:szCs w:val="24"/>
        </w:rPr>
        <w:t xml:space="preserve">An equipment importer does not calculate margin by subtracting purchase price alone. Freight, customs, clearance, storage, fees and the cash effect of the tax advance must be included, followed by operating costs. The company then separates creditable amounts from final expenses and calculates taxable profit using acceptable evidence.</w:t>
      </w:r>
    </w:p>
    <w:p>
      <w:pPr>
        <w:spacing w:after="140"/>
      </w:pPr>
      <w:r>
        <w:rPr>
          <w:sz w:val="24"/>
          <w:szCs w:val="24"/>
        </w:rPr>
        <w:t xml:space="preserve">If sales are on credit, some obligations may arise before the full price is collected. Link the import date, advance payment, delivery, collection and tax filing in one cash-flow schedule. Accounting profit does not always mean available cash.</w:t>
      </w:r>
    </w:p>
    <w:p>
      <w:pPr>
        <w:spacing w:after="140"/>
      </w:pPr>
      <w:r>
        <w:rPr>
          <w:sz w:val="24"/>
          <w:szCs w:val="24"/>
        </w:rPr>
        <w:t xml:space="preserve">A 30-day compliance plan</w:t>
      </w:r>
    </w:p>
    <w:p>
      <w:pPr>
        <w:spacing w:after="140"/>
      </w:pPr>
      <w:r>
        <w:rPr>
          <w:sz w:val="24"/>
          <w:szCs w:val="24"/>
        </w:rPr>
        <w:t xml:space="preserve">Week one: collect registrations, licences, contracts and previous filings; map obligations.</w:t>
      </w:r>
    </w:p>
    <w:p>
      <w:pPr>
        <w:spacing w:after="140"/>
      </w:pPr>
      <w:r>
        <w:rPr>
          <w:sz w:val="24"/>
          <w:szCs w:val="24"/>
        </w:rPr>
        <w:t xml:space="preserve">Week two: reconcile invoices, banks, stock, payroll and customs.</w:t>
      </w:r>
    </w:p>
    <w:p>
      <w:pPr>
        <w:spacing w:after="140"/>
      </w:pPr>
      <w:r>
        <w:rPr>
          <w:sz w:val="24"/>
          <w:szCs w:val="24"/>
        </w:rPr>
        <w:t xml:space="preserve">Week three: correct gaps, update records and build the tax calendar.</w:t>
      </w:r>
    </w:p>
    <w:p>
      <w:pPr>
        <w:spacing w:after="140"/>
      </w:pPr>
      <w:r>
        <w:rPr>
          <w:sz w:val="24"/>
          <w:szCs w:val="24"/>
        </w:rPr>
        <w:t xml:space="preserve">Week four: obtain specialist review, rank risks and approve invoice and retention policies.</w:t>
      </w:r>
    </w:p>
    <w:p>
      <w:pPr>
        <w:spacing w:after="140"/>
      </w:pPr>
      <w:r>
        <w:rPr>
          <w:sz w:val="24"/>
          <w:szCs w:val="24"/>
        </w:rPr>
        <w:t xml:space="preserve">After the first month, perform a simple monthly close. It is far cheaper than reconstructing a year when an audit or clearance certificate is urgently required.</w:t>
      </w:r>
    </w:p>
    <w:p>
      <w:pPr>
        <w:spacing w:after="140"/>
      </w:pPr>
      <w:r>
        <w:rPr>
          <w:sz w:val="24"/>
          <w:szCs w:val="24"/>
        </w:rPr>
        <w:t xml:space="preserve">Common mistakes</w:t>
      </w:r>
    </w:p>
    <w:p>
      <w:pPr>
        <w:spacing w:after="140"/>
      </w:pPr>
      <w:r>
        <w:rPr>
          <w:sz w:val="24"/>
          <w:szCs w:val="24"/>
        </w:rPr>
        <w:t xml:space="preserve">Using a rate without checking its date and taxpayer category.</w:t>
      </w:r>
    </w:p>
    <w:p>
      <w:pPr>
        <w:spacing w:after="140"/>
      </w:pPr>
      <w:r>
        <w:rPr>
          <w:sz w:val="24"/>
          <w:szCs w:val="24"/>
        </w:rPr>
        <w:t xml:space="preserve">Expensing a tax advance instead of reconciling it.</w:t>
      </w:r>
    </w:p>
    <w:p>
      <w:pPr>
        <w:spacing w:after="140"/>
      </w:pPr>
      <w:r>
        <w:rPr>
          <w:sz w:val="24"/>
          <w:szCs w:val="24"/>
        </w:rPr>
        <w:t xml:space="preserve">Signing a contract without allocating stamp duty and taxes.</w:t>
      </w:r>
    </w:p>
    <w:p>
      <w:pPr>
        <w:spacing w:after="140"/>
      </w:pPr>
      <w:r>
        <w:rPr>
          <w:sz w:val="24"/>
          <w:szCs w:val="24"/>
        </w:rPr>
        <w:t xml:space="preserve">Requesting tax clearance at the last minute.</w:t>
      </w:r>
    </w:p>
    <w:p>
      <w:pPr>
        <w:spacing w:after="140"/>
      </w:pPr>
      <w:r>
        <w:rPr>
          <w:sz w:val="24"/>
          <w:szCs w:val="24"/>
        </w:rPr>
        <w:t xml:space="preserve">Keeping invoices without payment or delivery evidence.</w:t>
      </w:r>
    </w:p>
    <w:p>
      <w:pPr>
        <w:spacing w:after="140"/>
      </w:pPr>
      <w:r>
        <w:rPr>
          <w:sz w:val="24"/>
          <w:szCs w:val="24"/>
        </w:rPr>
        <w:t xml:space="preserve">Mixing payroll tax and social insurance.</w:t>
      </w:r>
    </w:p>
    <w:p>
      <w:pPr>
        <w:spacing w:after="140"/>
      </w:pPr>
      <w:r>
        <w:rPr>
          <w:sz w:val="24"/>
          <w:szCs w:val="24"/>
        </w:rPr>
        <w:t xml:space="preserve">Failing to update the register, activity or address.</w:t>
      </w:r>
    </w:p>
    <w:p>
      <w:pPr>
        <w:spacing w:after="140"/>
      </w:pPr>
      <w:r>
        <w:rPr>
          <w:sz w:val="24"/>
          <w:szCs w:val="24"/>
        </w:rPr>
        <w:t xml:space="preserve">Allowing an accountant to file without management review.</w:t>
      </w:r>
    </w:p>
    <w:p>
      <w:pPr>
        <w:spacing w:after="140"/>
      </w:pPr>
      <w:r>
        <w:rPr>
          <w:sz w:val="24"/>
          <w:szCs w:val="24"/>
        </w:rPr>
        <w:t xml:space="preserve">Practical pre-filing checklist</w:t>
      </w:r>
    </w:p>
    <w:p>
      <w:pPr>
        <w:spacing w:after="140"/>
      </w:pPr>
      <w:r>
        <w:rPr>
          <w:sz w:val="24"/>
          <w:szCs w:val="24"/>
        </w:rPr>
        <w:t xml:space="preserve">Identify the exact tax or fee and legal instrument.</w:t>
      </w:r>
    </w:p>
    <w:p>
      <w:pPr>
        <w:spacing w:after="140"/>
      </w:pPr>
      <w:r>
        <w:rPr>
          <w:sz w:val="24"/>
          <w:szCs w:val="24"/>
        </w:rPr>
        <w:t xml:space="preserve">Confirm it is effective on the transaction date.</w:t>
      </w:r>
    </w:p>
    <w:p>
      <w:pPr>
        <w:spacing w:after="140"/>
      </w:pPr>
      <w:r>
        <w:rPr>
          <w:sz w:val="24"/>
          <w:szCs w:val="24"/>
        </w:rPr>
        <w:t xml:space="preserve">Identify the liable taxpayer and calculation basis.</w:t>
      </w:r>
    </w:p>
    <w:p>
      <w:pPr>
        <w:spacing w:after="140"/>
      </w:pPr>
      <w:r>
        <w:rPr>
          <w:sz w:val="24"/>
          <w:szCs w:val="24"/>
        </w:rPr>
        <w:t xml:space="preserve">Review exemption conditions.</w:t>
      </w:r>
    </w:p>
    <w:p>
      <w:pPr>
        <w:spacing w:after="140"/>
      </w:pPr>
      <w:r>
        <w:rPr>
          <w:sz w:val="24"/>
          <w:szCs w:val="24"/>
        </w:rPr>
        <w:t xml:space="preserve">Match the tax number, register, address and activity.</w:t>
      </w:r>
    </w:p>
    <w:p>
      <w:pPr>
        <w:spacing w:after="140"/>
      </w:pPr>
      <w:r>
        <w:rPr>
          <w:sz w:val="24"/>
          <w:szCs w:val="24"/>
        </w:rPr>
        <w:t xml:space="preserve">Close invoices, bank, stock and payroll.</w:t>
      </w:r>
    </w:p>
    <w:p>
      <w:pPr>
        <w:spacing w:after="140"/>
      </w:pPr>
      <w:r>
        <w:rPr>
          <w:sz w:val="24"/>
          <w:szCs w:val="24"/>
        </w:rPr>
        <w:t xml:space="preserve">Reconcile advances and withholding credits.</w:t>
      </w:r>
    </w:p>
    <w:p>
      <w:pPr>
        <w:spacing w:after="140"/>
      </w:pPr>
      <w:r>
        <w:rPr>
          <w:sz w:val="24"/>
          <w:szCs w:val="24"/>
        </w:rPr>
        <w:t xml:space="preserve">Confirm filing and payment deadlines.</w:t>
      </w:r>
    </w:p>
    <w:p>
      <w:pPr>
        <w:spacing w:after="140"/>
      </w:pPr>
      <w:r>
        <w:rPr>
          <w:sz w:val="24"/>
          <w:szCs w:val="24"/>
        </w:rPr>
        <w:t xml:space="preserve">Keep the return, receipt and transaction number.</w:t>
      </w:r>
    </w:p>
    <w:p>
      <w:pPr>
        <w:spacing w:after="140"/>
      </w:pPr>
      <w:r>
        <w:rPr>
          <w:sz w:val="24"/>
          <w:szCs w:val="24"/>
        </w:rPr>
        <w:t xml:space="preserve">Record follow-up and objection dates.</w:t>
      </w:r>
    </w:p>
    <w:p>
      <w:pPr>
        <w:spacing w:after="140"/>
      </w:pPr>
      <w:r>
        <w:rPr>
          <w:sz w:val="24"/>
          <w:szCs w:val="24"/>
        </w:rPr>
        <w:t xml:space="preserve">Checking official sources</w:t>
      </w:r>
    </w:p>
    <w:p>
      <w:pPr>
        <w:spacing w:after="140"/>
      </w:pPr>
      <w:r>
        <w:rPr>
          <w:sz w:val="24"/>
          <w:szCs w:val="24"/>
        </w:rPr>
        <w:t xml:space="preserve">Use the actual text, not a social-media summary. Start with the General Commission for Taxes and Fees, its taxpayer and e-government services, and official Ministry of Finance announcements.</w:t>
      </w:r>
    </w:p>
    <w:p>
      <w:pPr>
        <w:spacing w:after="140"/>
      </w:pPr>
      <w:r>
        <w:rPr>
          <w:sz w:val="24"/>
          <w:szCs w:val="24"/>
        </w:rPr>
        <w:t xml:space="preserve">Important 2026 references include the March tax reform and digitalisation announcement, the April electronic-invoicing update, and the importer advance and clearance decision. For international administration principles, consult the IMF Revenue Portal.</w:t>
      </w:r>
    </w:p>
    <w:p>
      <w:pPr>
        <w:spacing w:after="140"/>
      </w:pPr>
      <w:r>
        <w:rPr>
          <w:sz w:val="24"/>
          <w:szCs w:val="24"/>
        </w:rPr>
        <w:t xml:space="preserve">How Bsouria helps</w:t>
      </w:r>
    </w:p>
    <w:p>
      <w:pPr>
        <w:spacing w:after="140"/>
      </w:pPr>
      <w:r>
        <w:rPr>
          <w:sz w:val="24"/>
          <w:szCs w:val="24"/>
        </w:rPr>
        <w:t xml:space="preserve">Bsouria connects practical content, opportunities and business profiles. Compare providers in the Business Directory, follow business opportunities and read updated articles. The About Bsouria page explains the platform, while the Contact page can be used to report a new official source or an item requiring correction.</w:t>
      </w:r>
    </w:p>
    <w:p>
      <w:pPr>
        <w:spacing w:after="140"/>
      </w:pPr>
      <w:r>
        <w:rPr>
          <w:sz w:val="24"/>
          <w:szCs w:val="24"/>
        </w:rPr>
        <w:t xml:space="preserve">Bsouria does not replace an assessment by the authority and does not guarantee a company merely because it appears in the directory. Use it as a research starting point, then verify original documents.</w:t>
      </w:r>
    </w:p>
    <w:p>
      <w:pPr>
        <w:spacing w:after="140"/>
      </w:pPr>
      <w:r>
        <w:rPr>
          <w:sz w:val="24"/>
          <w:szCs w:val="24"/>
        </w:rPr>
        <w:t xml:space="preserve">Best practices</w:t>
      </w:r>
    </w:p>
    <w:p>
      <w:pPr>
        <w:spacing w:after="140"/>
      </w:pPr>
      <w:r>
        <w:rPr>
          <w:sz w:val="24"/>
          <w:szCs w:val="24"/>
        </w:rPr>
        <w:t xml:space="preserve">Use a written invoice and document-retention policy.</w:t>
      </w:r>
    </w:p>
    <w:p>
      <w:pPr>
        <w:spacing w:after="140"/>
      </w:pPr>
      <w:r>
        <w:rPr>
          <w:sz w:val="24"/>
          <w:szCs w:val="24"/>
        </w:rPr>
        <w:t xml:space="preserve">Separate transaction entry from payment approval where possible.</w:t>
      </w:r>
    </w:p>
    <w:p>
      <w:pPr>
        <w:spacing w:after="140"/>
      </w:pPr>
      <w:r>
        <w:rPr>
          <w:sz w:val="24"/>
          <w:szCs w:val="24"/>
        </w:rPr>
        <w:t xml:space="preserve">Reconcile accounts, banks, stock and customs monthly.</w:t>
      </w:r>
    </w:p>
    <w:p>
      <w:pPr>
        <w:spacing w:after="140"/>
      </w:pPr>
      <w:r>
        <w:rPr>
          <w:sz w:val="24"/>
          <w:szCs w:val="24"/>
        </w:rPr>
        <w:t xml:space="preserve">Review contracts for tax, stamp duty and remittance issues.</w:t>
      </w:r>
    </w:p>
    <w:p>
      <w:pPr>
        <w:spacing w:after="140"/>
      </w:pPr>
      <w:r>
        <w:rPr>
          <w:sz w:val="24"/>
          <w:szCs w:val="24"/>
        </w:rPr>
        <w:t xml:space="preserve">Obtain written advice for material or unusual transactions.</w:t>
      </w:r>
    </w:p>
    <w:p>
      <w:pPr>
        <w:spacing w:after="140"/>
      </w:pPr>
      <w:r>
        <w:rPr>
          <w:sz w:val="24"/>
          <w:szCs w:val="24"/>
        </w:rPr>
        <w:t xml:space="preserve">Maintain a “2026 changes” file.</w:t>
      </w:r>
    </w:p>
    <w:p>
      <w:pPr>
        <w:spacing w:after="140"/>
      </w:pPr>
      <w:r>
        <w:rPr>
          <w:sz w:val="24"/>
          <w:szCs w:val="24"/>
        </w:rPr>
        <w:t xml:space="preserve">Update cash forecasts when an advance or deadline changes.</w:t>
      </w:r>
    </w:p>
    <w:p>
      <w:pPr>
        <w:spacing w:after="140"/>
      </w:pPr>
      <w:r>
        <w:rPr>
          <w:sz w:val="24"/>
          <w:szCs w:val="24"/>
        </w:rPr>
        <w:t xml:space="preserve">Summary</w:t>
      </w:r>
    </w:p>
    <w:p>
      <w:pPr>
        <w:spacing w:after="140"/>
      </w:pPr>
      <w:r>
        <w:rPr>
          <w:sz w:val="24"/>
          <w:szCs w:val="24"/>
        </w:rPr>
        <w:t xml:space="preserve">Good tax management is not finding the lowest number at any cost. It is arriving at a correct, supportable amount and paying it on time without blocking the business. During Syria’s 2026 reform period, monitoring and evidence are more valuable than memorising rates. Identify the obligation, confirm the effective law, maintain records, plan cash flow and obtain help before deadlines expire.</w:t>
      </w:r>
    </w:p>
    <w:p>
      <w:pPr>
        <w:spacing w:after="140"/>
      </w:pPr>
      <w:r>
        <w:rPr>
          <w:sz w:val="24"/>
          <w:szCs w:val="24"/>
        </w:rPr>
        <w:t xml:space="preserve">Sources and references</w:t>
      </w:r>
    </w:p>
    <w:p>
      <w:pPr>
        <w:spacing w:after="140"/>
      </w:pPr>
      <w:r>
        <w:rPr>
          <w:sz w:val="24"/>
          <w:szCs w:val="24"/>
        </w:rPr>
        <w:t xml:space="preserve">General Commission for Taxes and Fees.</w:t>
      </w:r>
    </w:p>
    <w:p>
      <w:pPr>
        <w:spacing w:after="140"/>
      </w:pPr>
      <w:r>
        <w:rPr>
          <w:sz w:val="24"/>
          <w:szCs w:val="24"/>
        </w:rPr>
        <w:t xml:space="preserve">Taxpayer and electronic services.</w:t>
      </w:r>
    </w:p>
    <w:p>
      <w:pPr>
        <w:spacing w:after="140"/>
      </w:pPr>
      <w:r>
        <w:rPr>
          <w:sz w:val="24"/>
          <w:szCs w:val="24"/>
        </w:rPr>
        <w:t xml:space="preserve">Tax reform and digitalisation, 19 March 2026.</w:t>
      </w:r>
    </w:p>
    <w:p>
      <w:pPr>
        <w:spacing w:after="140"/>
      </w:pPr>
      <w:r>
        <w:rPr>
          <w:sz w:val="24"/>
          <w:szCs w:val="24"/>
        </w:rPr>
        <w:t xml:space="preserve">Tax authority strategy and e-invoicing, 9 April 2026.</w:t>
      </w:r>
    </w:p>
    <w:p>
      <w:pPr>
        <w:spacing w:after="140"/>
      </w:pPr>
      <w:r>
        <w:rPr>
          <w:sz w:val="24"/>
          <w:szCs w:val="24"/>
        </w:rPr>
        <w:t xml:space="preserve">2% importer advance and tax clearance, 24 March 2026.</w:t>
      </w:r>
    </w:p>
    <w:p>
      <w:pPr>
        <w:spacing w:after="140"/>
      </w:pPr>
      <w:r>
        <w:rPr>
          <w:sz w:val="24"/>
          <w:szCs w:val="24"/>
        </w:rPr>
        <w:t xml:space="preserve">IMF technical cooperation on tax and customs, 12 June 2026.</w:t>
      </w:r>
    </w:p>
    <w:p>
      <w:pPr>
        <w:spacing w:after="140"/>
      </w:pPr>
      <w:r>
        <w:rPr>
          <w:sz w:val="24"/>
          <w:szCs w:val="24"/>
        </w:rPr>
        <w:t xml:space="preserve">Law 15 of 2021 on real-estate sales tax.</w:t>
      </w:r>
    </w:p>
    <w:p>
      <w:pPr>
        <w:spacing w:after="140"/>
      </w:pPr>
      <w:r>
        <w:rPr>
          <w:sz w:val="24"/>
          <w:szCs w:val="24"/>
        </w:rPr>
        <w:t xml:space="preserve">IMF Revenue Portal.</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Taxes and Fees in Syria 2026: A Practical Guide for Businesses and Individuals</dc:title>
  <dc:creator>Bsouria Editorial Team</dc:creator>
  <cp:lastModifiedBy>Bsouria</cp:lastModifiedBy>
  <dcterms:created xsi:type="dcterms:W3CDTF">2026-07-31T02:22:53Z</dcterms:created>
</cp:coreProperties>
</file>