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Syria Real Estate Investment Guide 2026: Title, Valuation and Returns</w:t>
      </w:r>
    </w:p>
    <w:p>
      <w:pPr/>
      <w:r>
        <w:rPr>
          <w:i/>
          <w:color w:val="64736B"/>
        </w:rPr>
        <w:t>Bsouria Editorial Team · 2026-07-26</w:t>
      </w:r>
    </w:p>
    <w:p>
      <w:pPr>
        <w:spacing w:after="220"/>
      </w:pPr>
      <w:r>
        <w:rPr>
          <w:i/>
        </w:rPr>
        <w:t>A practical guide to title, contracts, planning, valuation, rental yield, development and property due diligence in Syria.</w:t>
      </w:r>
    </w:p>
    <w:p>
      <w:pPr>
        <w:spacing w:after="140"/>
      </w:pPr>
      <w:r>
        <w:rPr>
          <w:sz w:val="24"/>
          <w:szCs w:val="24"/>
        </w:rPr>
        <w:t xml:space="preserve">Property in Syria can be a family asset, a rental investment or part of reconstruction. It can also become an expensive legal dispute when buyers focus on the advertised price and ignore title, registration, planning, occupancy, utilities and cash flow. This guide gives investors a practical way to examine a deal before committing funds.</w:t>
      </w:r>
    </w:p>
    <w:p>
      <w:pPr>
        <w:spacing w:after="140"/>
      </w:pPr>
      <w:r>
        <w:rPr>
          <w:sz w:val="24"/>
          <w:szCs w:val="24"/>
        </w:rPr>
        <w:t xml:space="preserve">Professional note: Rules and administrative practice can change. Complex transactions need a Syrian lawyer, engineer and independent valuer who review the actual documents and property.</w:t>
      </w:r>
    </w:p>
    <w:p>
      <w:pPr>
        <w:spacing w:after="140"/>
      </w:pPr>
      <w:r>
        <w:rPr>
          <w:sz w:val="24"/>
          <w:szCs w:val="24"/>
        </w:rPr>
        <w:t xml:space="preserve">There is no single Syrian property market</w:t>
      </w:r>
    </w:p>
    <w:p>
      <w:pPr>
        <w:spacing w:after="140"/>
      </w:pPr>
      <w:r>
        <w:rPr>
          <w:sz w:val="24"/>
          <w:szCs w:val="24"/>
        </w:rPr>
        <w:t xml:space="preserve">Damascus, Rural Damascus, Aleppo, Homs, Latakia, Tartous and smaller cities behave differently. Even two buildings on the same street can carry very different risk because of title quality, planning status, access, utilities, occupancy and construction condition. A low price is not automatically a bargain; sometimes it is the market’s way of pricing a legal or practical problem.</w:t>
      </w:r>
    </w:p>
    <w:p>
      <w:pPr>
        <w:spacing w:after="140"/>
      </w:pPr>
      <w:r>
        <w:rPr>
          <w:sz w:val="24"/>
          <w:szCs w:val="24"/>
        </w:rPr>
        <w:t xml:space="preserve">Start with the right question: what legal right am I buying, and what can I lawfully and practically do with it?</w:t>
      </w:r>
    </w:p>
    <w:p>
      <w:pPr>
        <w:spacing w:after="140"/>
      </w:pPr>
      <w:r>
        <w:rPr>
          <w:sz w:val="24"/>
          <w:szCs w:val="24"/>
        </w:rPr>
        <w:t xml:space="preserve">Verify ownership before paying a deposit</w:t>
      </w:r>
    </w:p>
    <w:p>
      <w:pPr>
        <w:spacing w:after="140"/>
      </w:pPr>
      <w:r>
        <w:rPr>
          <w:sz w:val="24"/>
          <w:szCs w:val="24"/>
        </w:rPr>
        <w:t xml:space="preserve">Obtain a recent land-registry extract and verify the owner, parcel number, district, share, mortgages, seizures, litigation notes, usufruct and easements. If an agent signs, inspect the original power of attorney, its scope, date, revocation status and identity details.</w:t>
      </w:r>
    </w:p>
    <w:p>
      <w:pPr>
        <w:spacing w:after="140"/>
      </w:pPr>
      <w:r>
        <w:rPr>
          <w:sz w:val="24"/>
          <w:szCs w:val="24"/>
        </w:rPr>
        <w:t xml:space="preserve">Match the register to reality through legal and engineering checks. The actual unit may sit on a larger parcel, include unlicensed extensions or differ from the registered area. A document check without a site check is incomplete.</w:t>
      </w:r>
    </w:p>
    <w:p>
      <w:pPr>
        <w:spacing w:after="140"/>
      </w:pPr>
      <w:r>
        <w:rPr>
          <w:sz w:val="24"/>
          <w:szCs w:val="24"/>
        </w:rPr>
        <w:t xml:space="preserve">A private contract is not the same as registered ownership</w:t>
      </w:r>
    </w:p>
    <w:p>
      <w:pPr>
        <w:spacing w:after="140"/>
      </w:pPr>
      <w:r>
        <w:rPr>
          <w:sz w:val="24"/>
          <w:szCs w:val="24"/>
        </w:rPr>
        <w:t xml:space="preserve">A reservation form, receipt or private sale agreement can create contractual rights, but it may not produce the same legal effect as registration. The contract should state the registration route, deadline, documents, taxes, fees, possession date and remedies if title cannot be transferred.</w:t>
      </w:r>
    </w:p>
    <w:p>
      <w:pPr>
        <w:spacing w:after="140"/>
      </w:pPr>
      <w:r>
        <w:rPr>
          <w:sz w:val="24"/>
          <w:szCs w:val="24"/>
        </w:rPr>
        <w:t xml:space="preserve">For a material transaction, use staged payments tied to verified milestones. Avoid paying the full price before the title and transfer conditions are satisfied.</w:t>
      </w:r>
    </w:p>
    <w:p>
      <w:pPr>
        <w:spacing w:after="140"/>
      </w:pPr>
      <w:r>
        <w:rPr>
          <w:sz w:val="24"/>
          <w:szCs w:val="24"/>
        </w:rPr>
        <w:t xml:space="preserve">Value the property, not the sales pitch</w:t>
      </w:r>
    </w:p>
    <w:p>
      <w:pPr>
        <w:spacing w:after="140"/>
      </w:pPr>
      <w:r>
        <w:rPr>
          <w:sz w:val="24"/>
          <w:szCs w:val="24"/>
        </w:rPr>
        <w:t xml:space="preserve">Use three layers: current asking prices, confirmed transactions where available, and replacement or construction cost. Asking prices are not completed sales. Compare truly similar units by location, size, age, floor, lift, parking, fit-out, legal status and service reliability.</w:t>
      </w:r>
    </w:p>
    <w:p>
      <w:pPr>
        <w:spacing w:after="140"/>
      </w:pPr>
      <w:r>
        <w:rPr>
          <w:sz w:val="24"/>
          <w:szCs w:val="24"/>
        </w:rPr>
        <w:t xml:space="preserve">Build adjustments for access, utility quality, repair needs, planning risk, rental demand and financing cost. A defensible valuation explains its assumptions instead of hiding them inside one price-per-square-metre number.</w:t>
      </w:r>
    </w:p>
    <w:p>
      <w:pPr>
        <w:spacing w:after="140"/>
      </w:pPr>
      <w:r>
        <w:rPr>
          <w:sz w:val="24"/>
          <w:szCs w:val="24"/>
        </w:rPr>
        <w:t xml:space="preserve">Rental yield must be calculated net</w:t>
      </w:r>
    </w:p>
    <w:p>
      <w:pPr>
        <w:spacing w:after="140"/>
      </w:pPr>
      <w:r>
        <w:rPr>
          <w:sz w:val="24"/>
          <w:szCs w:val="24"/>
        </w:rPr>
        <w:t xml:space="preserve">Gross yield ignores vacancy, maintenance, management, taxes, fees, furnishing, collection risk and the months required to make a unit usable. Build optimistic, base and stress cases. In the stress case, assume lower rent, delayed payment and one significant repair.</w:t>
      </w:r>
    </w:p>
    <w:p>
      <w:pPr>
        <w:spacing w:after="140"/>
      </w:pPr>
      <w:r>
        <w:rPr>
          <w:sz w:val="24"/>
          <w:szCs w:val="24"/>
        </w:rPr>
        <w:t xml:space="preserve">Cash flow timing matters. A profitable property on paper can still create a liquidity problem if major repairs and fees are due before rent begins.</w:t>
      </w:r>
    </w:p>
    <w:p>
      <w:pPr>
        <w:spacing w:after="140"/>
      </w:pPr>
      <w:r>
        <w:rPr>
          <w:sz w:val="24"/>
          <w:szCs w:val="24"/>
        </w:rPr>
        <w:t xml:space="preserve">Development projects and off-plan sales</w:t>
      </w:r>
    </w:p>
    <w:p>
      <w:pPr>
        <w:spacing w:after="140"/>
      </w:pPr>
      <w:r>
        <w:rPr>
          <w:sz w:val="24"/>
          <w:szCs w:val="24"/>
        </w:rPr>
        <w:t xml:space="preserve">A credible development needs clear land rights, planning approval, a licensed developer, permits, financing, construction controls and buyer-protection mechanisms. Syria’s investment authority has emphasized its role in regulating real-estate development under the applicable framework.</w:t>
      </w:r>
    </w:p>
    <w:p>
      <w:pPr>
        <w:spacing w:after="140"/>
      </w:pPr>
      <w:r>
        <w:rPr>
          <w:sz w:val="24"/>
          <w:szCs w:val="24"/>
        </w:rPr>
        <w:t xml:space="preserve">For off-plan purchases, the contract should define specifications, milestones, delivery, delay remedies, permitted changes, refunds and common-area management. A brochure and a scale model are not due diligence.</w:t>
      </w:r>
    </w:p>
    <w:p>
      <w:pPr>
        <w:spacing w:after="140"/>
      </w:pPr>
      <w:r>
        <w:rPr>
          <w:sz w:val="24"/>
          <w:szCs w:val="24"/>
        </w:rPr>
        <w:t xml:space="preserve">Reconstruction need does not guarantee investment return</w:t>
      </w:r>
    </w:p>
    <w:p>
      <w:pPr>
        <w:spacing w:after="140"/>
      </w:pPr>
      <w:r>
        <w:rPr>
          <w:sz w:val="24"/>
          <w:szCs w:val="24"/>
        </w:rPr>
        <w:t xml:space="preserve">Large reconstruction estimates show scale of need, not automatic profitability. Returns still depend on title, infrastructure, customer purchasing power, financing, permits, contractors, materials and operating stability.</w:t>
      </w:r>
    </w:p>
    <w:p>
      <w:pPr>
        <w:spacing w:after="140"/>
      </w:pPr>
      <w:r>
        <w:rPr>
          <w:sz w:val="24"/>
          <w:szCs w:val="24"/>
        </w:rPr>
        <w:t xml:space="preserve">Separate social need from bankable demand. Identify who pays, when they pay, in which currency, and what happens if the schedule slips by twelve or twenty-four months.</w:t>
      </w:r>
    </w:p>
    <w:p>
      <w:pPr>
        <w:spacing w:after="140"/>
      </w:pPr>
      <w:r>
        <w:rPr>
          <w:sz w:val="24"/>
          <w:szCs w:val="24"/>
        </w:rPr>
        <w:t xml:space="preserve">Investors based outside Syria</w:t>
      </w:r>
    </w:p>
    <w:p>
      <w:pPr>
        <w:spacing w:after="140"/>
      </w:pPr>
      <w:r>
        <w:rPr>
          <w:sz w:val="24"/>
          <w:szCs w:val="24"/>
        </w:rPr>
        <w:t xml:space="preserve">Non-residents should check ownership eligibility, banking channels, source-of-funds evidence, tax, powers of attorney, sanctions screening and the ability to repatriate capital or profits. Project ownership rules do not necessarily remove property-specific restrictions.</w:t>
      </w:r>
    </w:p>
    <w:p>
      <w:pPr>
        <w:spacing w:after="140"/>
      </w:pPr>
      <w:r>
        <w:rPr>
          <w:sz w:val="24"/>
          <w:szCs w:val="24"/>
        </w:rPr>
        <w:t xml:space="preserve">Use an independently verified payment route and advisers who do not represent the seller. Urgency is not a substitute for compliance.</w:t>
      </w:r>
    </w:p>
    <w:p>
      <w:pPr>
        <w:spacing w:after="140"/>
      </w:pPr>
      <w:r>
        <w:rPr>
          <w:sz w:val="24"/>
          <w:szCs w:val="24"/>
        </w:rPr>
        <w:t xml:space="preserve">Red flags that should pause the deal</w:t>
      </w:r>
    </w:p>
    <w:p>
      <w:pPr>
        <w:spacing w:after="140"/>
      </w:pPr>
      <w:r>
        <w:rPr>
          <w:sz w:val="24"/>
          <w:szCs w:val="24"/>
        </w:rPr>
        <w:t xml:space="preserve">No recent title extract.</w:t>
      </w:r>
    </w:p>
    <w:p>
      <w:pPr>
        <w:spacing w:after="140"/>
      </w:pPr>
      <w:r>
        <w:rPr>
          <w:sz w:val="24"/>
          <w:szCs w:val="24"/>
        </w:rPr>
        <w:t xml:space="preserve">Pressure to pay before review.</w:t>
      </w:r>
    </w:p>
    <w:p>
      <w:pPr>
        <w:spacing w:after="140"/>
      </w:pPr>
      <w:r>
        <w:rPr>
          <w:sz w:val="24"/>
          <w:szCs w:val="24"/>
        </w:rPr>
        <w:t xml:space="preserve">Mismatch in owner, area or parcel.</w:t>
      </w:r>
    </w:p>
    <w:p>
      <w:pPr>
        <w:spacing w:after="140"/>
      </w:pPr>
      <w:r>
        <w:rPr>
          <w:sz w:val="24"/>
          <w:szCs w:val="24"/>
        </w:rPr>
        <w:t xml:space="preserve">Guaranteed returns.</w:t>
      </w:r>
    </w:p>
    <w:p>
      <w:pPr>
        <w:spacing w:after="140"/>
      </w:pPr>
      <w:r>
        <w:rPr>
          <w:sz w:val="24"/>
          <w:szCs w:val="24"/>
        </w:rPr>
        <w:t xml:space="preserve">Major unlicensed construction.</w:t>
      </w:r>
    </w:p>
    <w:p>
      <w:pPr>
        <w:spacing w:after="140"/>
      </w:pPr>
      <w:r>
        <w:rPr>
          <w:sz w:val="24"/>
          <w:szCs w:val="24"/>
        </w:rPr>
        <w:t xml:space="preserve">Occupants with unclear rights.</w:t>
      </w:r>
    </w:p>
    <w:p>
      <w:pPr>
        <w:spacing w:after="140"/>
      </w:pPr>
      <w:r>
        <w:rPr>
          <w:sz w:val="24"/>
          <w:szCs w:val="24"/>
        </w:rPr>
        <w:t xml:space="preserve">A price far below comparables without a documented reason.</w:t>
      </w:r>
    </w:p>
    <w:p>
      <w:pPr>
        <w:spacing w:after="140"/>
      </w:pPr>
      <w:r>
        <w:rPr>
          <w:sz w:val="24"/>
          <w:szCs w:val="24"/>
        </w:rPr>
        <w:t xml:space="preserve">Payment requested to an unrelated third party.</w:t>
      </w:r>
    </w:p>
    <w:p>
      <w:pPr>
        <w:spacing w:after="140"/>
      </w:pPr>
      <w:r>
        <w:rPr>
          <w:sz w:val="24"/>
          <w:szCs w:val="24"/>
        </w:rPr>
        <w:t xml:space="preserve">A practical acquisition checklist</w:t>
      </w:r>
    </w:p>
    <w:p>
      <w:pPr>
        <w:spacing w:after="140"/>
      </w:pPr>
      <w:r>
        <w:rPr>
          <w:sz w:val="24"/>
          <w:szCs w:val="24"/>
        </w:rPr>
        <w:t xml:space="preserve">Define the investment purpose.</w:t>
      </w:r>
    </w:p>
    <w:p>
      <w:pPr>
        <w:spacing w:after="140"/>
      </w:pPr>
      <w:r>
        <w:rPr>
          <w:sz w:val="24"/>
          <w:szCs w:val="24"/>
        </w:rPr>
        <w:t xml:space="preserve">Verify title and encumbrances.</w:t>
      </w:r>
    </w:p>
    <w:p>
      <w:pPr>
        <w:spacing w:after="140"/>
      </w:pPr>
      <w:r>
        <w:rPr>
          <w:sz w:val="24"/>
          <w:szCs w:val="24"/>
        </w:rPr>
        <w:t xml:space="preserve">Commission legal, engineering and survey checks.</w:t>
      </w:r>
    </w:p>
    <w:p>
      <w:pPr>
        <w:spacing w:after="140"/>
      </w:pPr>
      <w:r>
        <w:rPr>
          <w:sz w:val="24"/>
          <w:szCs w:val="24"/>
        </w:rPr>
        <w:t xml:space="preserve">Review zoning and permitted use.</w:t>
      </w:r>
    </w:p>
    <w:p>
      <w:pPr>
        <w:spacing w:after="140"/>
      </w:pPr>
      <w:r>
        <w:rPr>
          <w:sz w:val="24"/>
          <w:szCs w:val="24"/>
        </w:rPr>
        <w:t xml:space="preserve">Calculate total acquisition and repair cost.</w:t>
      </w:r>
    </w:p>
    <w:p>
      <w:pPr>
        <w:spacing w:after="140"/>
      </w:pPr>
      <w:r>
        <w:rPr>
          <w:sz w:val="24"/>
          <w:szCs w:val="24"/>
        </w:rPr>
        <w:t xml:space="preserve">Set conditions before payment.</w:t>
      </w:r>
    </w:p>
    <w:p>
      <w:pPr>
        <w:spacing w:after="140"/>
      </w:pPr>
      <w:r>
        <w:rPr>
          <w:sz w:val="24"/>
          <w:szCs w:val="24"/>
        </w:rPr>
        <w:t xml:space="preserve">Confirm taxes and fees.</w:t>
      </w:r>
    </w:p>
    <w:p>
      <w:pPr>
        <w:spacing w:after="140"/>
      </w:pPr>
      <w:r>
        <w:rPr>
          <w:sz w:val="24"/>
          <w:szCs w:val="24"/>
        </w:rPr>
        <w:t xml:space="preserve">Plan registration and possession.</w:t>
      </w:r>
    </w:p>
    <w:p>
      <w:pPr>
        <w:spacing w:after="140"/>
      </w:pPr>
      <w:r>
        <w:rPr>
          <w:sz w:val="24"/>
          <w:szCs w:val="24"/>
        </w:rPr>
        <w:t xml:space="preserve">Keep certified records.</w:t>
      </w:r>
    </w:p>
    <w:p>
      <w:pPr>
        <w:spacing w:after="140"/>
      </w:pPr>
      <w:r>
        <w:rPr>
          <w:sz w:val="24"/>
          <w:szCs w:val="24"/>
        </w:rPr>
        <w:t xml:space="preserve">Use an independent adviser.</w:t>
      </w:r>
    </w:p>
    <w:p>
      <w:pPr>
        <w:spacing w:after="140"/>
      </w:pPr>
      <w:r>
        <w:rPr>
          <w:sz w:val="24"/>
          <w:szCs w:val="24"/>
        </w:rPr>
        <w:t xml:space="preserve">Build a transaction data room</w:t>
      </w:r>
    </w:p>
    <w:p>
      <w:pPr>
        <w:spacing w:after="140"/>
      </w:pPr>
      <w:r>
        <w:rPr>
          <w:sz w:val="24"/>
          <w:szCs w:val="24"/>
        </w:rPr>
        <w:t xml:space="preserve">Create an organised folder containing the title extract, cadastral plan, permits, tax clearance where relevant, leases, utility records, dated photographs, maintenance reports and official correspondence. Label each file by date and source, and distinguish originals, copies and unverified claims.</w:t>
      </w:r>
    </w:p>
    <w:p>
      <w:pPr>
        <w:spacing w:after="140"/>
      </w:pPr>
      <w:r>
        <w:rPr>
          <w:sz w:val="24"/>
          <w:szCs w:val="24"/>
        </w:rPr>
        <w:t xml:space="preserve">This discipline is not only for institutional investors. A buyer of one apartment needs a reliable record for registration, resale, financing and disputes. Important verbal statements should become contractual warranties or official evidence.</w:t>
      </w:r>
    </w:p>
    <w:p>
      <w:pPr>
        <w:spacing w:after="140"/>
      </w:pPr>
      <w:r>
        <w:rPr>
          <w:sz w:val="24"/>
          <w:szCs w:val="24"/>
        </w:rPr>
        <w:t xml:space="preserve">Renovation budget and contractor control</w:t>
      </w:r>
    </w:p>
    <w:p>
      <w:pPr>
        <w:spacing w:after="140"/>
      </w:pPr>
      <w:r>
        <w:rPr>
          <w:sz w:val="24"/>
          <w:szCs w:val="24"/>
        </w:rPr>
        <w:t xml:space="preserve">For older buildings, repairs can exceed the apparent purchase discount. Inspect electrical, plumbing, waterproofing, roof, structure and lifts. Add a realistic contingency for hidden defects, transport, waste, labour delays and permits.</w:t>
      </w:r>
    </w:p>
    <w:p>
      <w:pPr>
        <w:spacing w:after="140"/>
      </w:pPr>
      <w:r>
        <w:rPr>
          <w:sz w:val="24"/>
          <w:szCs w:val="24"/>
        </w:rPr>
        <w:t xml:space="preserve">The contractor agreement should define quantities, materials, milestones, testing, warranty and handover. Tie payments to measurable completion and retain an amount until defects are corrected.</w:t>
      </w:r>
    </w:p>
    <w:p>
      <w:pPr>
        <w:spacing w:after="140"/>
      </w:pPr>
      <w:r>
        <w:rPr>
          <w:sz w:val="24"/>
          <w:szCs w:val="24"/>
        </w:rPr>
        <w:t xml:space="preserve">Worked example: a unit requiring repair</w:t>
      </w:r>
    </w:p>
    <w:p>
      <w:pPr>
        <w:spacing w:after="140"/>
      </w:pPr>
      <w:r>
        <w:rPr>
          <w:sz w:val="24"/>
          <w:szCs w:val="24"/>
        </w:rPr>
        <w:t xml:space="preserve">If the price is 100 units, transfer and fees are 5, repairs are 20 and the property is unusable for six months, the investment cost is not 100. Include financing cost and overrun risk. If annual net rent is 8 units, calculate yield on the total invested amount.</w:t>
      </w:r>
    </w:p>
    <w:p>
      <w:pPr>
        <w:spacing w:after="140"/>
      </w:pPr>
      <w:r>
        <w:rPr>
          <w:sz w:val="24"/>
          <w:szCs w:val="24"/>
        </w:rPr>
        <w:t xml:space="preserve">A more expensive but legally clean, usable unit can outperform a cheaper property that remains blocked by title or construction problems.</w:t>
      </w:r>
    </w:p>
    <w:p>
      <w:pPr>
        <w:spacing w:after="140"/>
      </w:pPr>
      <w:r>
        <w:rPr>
          <w:sz w:val="24"/>
          <w:szCs w:val="24"/>
        </w:rPr>
        <w:t xml:space="preserve">The first 90 days after acquisition</w:t>
      </w:r>
    </w:p>
    <w:p>
      <w:pPr>
        <w:spacing w:after="140"/>
      </w:pPr>
      <w:r>
        <w:rPr>
          <w:sz w:val="24"/>
          <w:szCs w:val="24"/>
        </w:rPr>
        <w:t xml:space="preserve">Complete registration and possession, transfer utilities, document condition, review insurance where available, establish maintenance and create an income-and-expense file. For a rented property, review lease security and collection procedures.</w:t>
      </w:r>
    </w:p>
    <w:p>
      <w:pPr>
        <w:spacing w:after="140"/>
      </w:pPr>
      <w:r>
        <w:rPr>
          <w:sz w:val="24"/>
          <w:szCs w:val="24"/>
        </w:rPr>
        <w:t xml:space="preserve">After three months, compare assumptions with reality. Early model updates help investors stop losses rather than defend the original forecast.</w:t>
      </w:r>
    </w:p>
    <w:p>
      <w:pPr>
        <w:spacing w:after="140"/>
      </w:pPr>
      <w:r>
        <w:rPr>
          <w:sz w:val="24"/>
          <w:szCs w:val="24"/>
        </w:rPr>
        <w:t xml:space="preserve">Authoritative external resources</w:t>
      </w:r>
    </w:p>
    <w:p>
      <w:pPr>
        <w:spacing w:after="140"/>
      </w:pPr>
      <w:r>
        <w:rPr>
          <w:sz w:val="24"/>
          <w:szCs w:val="24"/>
        </w:rPr>
        <w:t xml:space="preserve">Syrian Investment Authority on real-estate development</w:t>
      </w:r>
    </w:p>
    <w:p>
      <w:pPr>
        <w:spacing w:after="140"/>
      </w:pPr>
      <w:r>
        <w:rPr>
          <w:sz w:val="24"/>
          <w:szCs w:val="24"/>
        </w:rPr>
        <w:t xml:space="preserve">Electronic land-registry service expansion</w:t>
      </w:r>
    </w:p>
    <w:p>
      <w:pPr>
        <w:spacing w:after="140"/>
      </w:pPr>
      <w:r>
        <w:rPr>
          <w:sz w:val="24"/>
          <w:szCs w:val="24"/>
        </w:rPr>
        <w:t xml:space="preserve">Ministry of Justice safeguards for property transfers</w:t>
      </w:r>
    </w:p>
    <w:p>
      <w:pPr>
        <w:spacing w:after="140"/>
      </w:pPr>
      <w:r>
        <w:rPr>
          <w:sz w:val="24"/>
          <w:szCs w:val="24"/>
        </w:rPr>
        <w:t xml:space="preserve">World Bank reconstruction-cost assessment</w:t>
      </w:r>
    </w:p>
    <w:p>
      <w:pPr>
        <w:spacing w:after="140"/>
      </w:pPr>
      <w:r>
        <w:rPr>
          <w:sz w:val="24"/>
          <w:szCs w:val="24"/>
        </w:rPr>
        <w:t xml:space="preserve">Nationwide land-record digitisation plan</w:t>
      </w:r>
    </w:p>
    <w:p>
      <w:pPr>
        <w:spacing w:after="140"/>
      </w:pPr>
      <w:r>
        <w:rPr>
          <w:sz w:val="24"/>
          <w:szCs w:val="24"/>
        </w:rPr>
        <w:t xml:space="preserve">Useful Bsouria links</w:t>
      </w:r>
    </w:p>
    <w:p>
      <w:pPr>
        <w:spacing w:after="140"/>
      </w:pPr>
      <w:r>
        <w:rPr>
          <w:sz w:val="24"/>
          <w:szCs w:val="24"/>
        </w:rPr>
        <w:t xml:space="preserve">Taxes and fees guide</w:t>
      </w:r>
    </w:p>
    <w:p>
      <w:pPr>
        <w:spacing w:after="140"/>
      </w:pPr>
      <w:r>
        <w:rPr>
          <w:sz w:val="24"/>
          <w:szCs w:val="24"/>
        </w:rPr>
        <w:t xml:space="preserve">Import and export guide</w:t>
      </w:r>
    </w:p>
    <w:p>
      <w:pPr>
        <w:spacing w:after="140"/>
      </w:pPr>
      <w:r>
        <w:rPr>
          <w:sz w:val="24"/>
          <w:szCs w:val="24"/>
        </w:rPr>
        <w:t xml:space="preserve">Business directory</w:t>
      </w:r>
    </w:p>
    <w:p>
      <w:pPr>
        <w:spacing w:after="140"/>
      </w:pPr>
      <w:r>
        <w:rPr>
          <w:sz w:val="24"/>
          <w:szCs w:val="24"/>
        </w:rPr>
        <w:t xml:space="preserve">Investment opportunities</w:t>
      </w:r>
    </w:p>
    <w:p>
      <w:pPr>
        <w:spacing w:after="140"/>
      </w:pPr>
      <w:r>
        <w:rPr>
          <w:sz w:val="24"/>
          <w:szCs w:val="24"/>
        </w:rPr>
        <w:t xml:space="preserve">Contact Bsouria</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Syria Real Estate Investment Guide 2026: Title, Valuation and Returns</dc:title>
  <dc:creator>Bsouria Editorial Team</dc:creator>
  <cp:lastModifiedBy>Bsouria</cp:lastModifiedBy>
  <dcterms:created xsi:type="dcterms:W3CDTF">2026-07-31T02:22:24Z</dcterms:created>
</cp:coreProperties>
</file>