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Syria Investment and Finance Guide 2026: How to Evaluate and Structure a Deal</w:t>
      </w:r>
    </w:p>
    <w:p>
      <w:pPr/>
      <w:r>
        <w:rPr>
          <w:i/>
          <w:color w:val="64736B"/>
        </w:rPr>
        <w:t>Bsouria Editorial Team · 2026-07-26</w:t>
      </w:r>
    </w:p>
    <w:p>
      <w:pPr>
        <w:spacing w:after="220"/>
      </w:pPr>
      <w:r>
        <w:rPr>
          <w:i/>
        </w:rPr>
        <w:t>A practical framework for founders, market, numbers, valuation, governance, funding, compliance and exit before investing in Syria.</w:t>
      </w:r>
    </w:p>
    <w:p>
      <w:pPr>
        <w:spacing w:after="140"/>
      </w:pPr>
      <w:r>
        <w:rPr>
          <w:sz w:val="24"/>
          <w:szCs w:val="24"/>
        </w:rPr>
        <w:t xml:space="preserve">Investing in Syria is not a contest to identify the most fashionable sector. It is a disciplined process for turning a real need into a business that can be financed, governed, measured and eventually exited. A credible opportunity must survive questions about customers, team, licensing, liquidity, currency, governance and compliance.</w:t>
      </w:r>
    </w:p>
    <w:p>
      <w:pPr>
        <w:spacing w:after="140"/>
      </w:pPr>
      <w:r>
        <w:rPr>
          <w:sz w:val="24"/>
          <w:szCs w:val="24"/>
        </w:rPr>
        <w:t xml:space="preserve">Note: This is a decision framework, not a recommendation to fund a specific company. Obtain independent legal, financial and compliance advice.</w:t>
      </w:r>
    </w:p>
    <w:p>
      <w:pPr>
        <w:spacing w:after="140"/>
      </w:pPr>
      <w:r>
        <w:rPr>
          <w:sz w:val="24"/>
          <w:szCs w:val="24"/>
        </w:rPr>
        <w:t xml:space="preserve">How to read an investment opportunity in Syria</w:t>
      </w:r>
    </w:p>
    <w:p>
      <w:pPr>
        <w:spacing w:after="140"/>
      </w:pPr>
      <w:r>
        <w:rPr>
          <w:sz w:val="24"/>
          <w:szCs w:val="24"/>
        </w:rPr>
        <w:t xml:space="preserve">Syria has large capital, infrastructure and service needs, but investors also face limited data, liquidity constraints and execution risk. A promising sector is not an investment thesis. The opportunity must identify a paying customer, measurable demand, workable licensing, a functioning supply chain and understandable cash flow.</w:t>
      </w:r>
    </w:p>
    <w:p>
      <w:pPr>
        <w:spacing w:after="140"/>
      </w:pPr>
      <w:r>
        <w:rPr>
          <w:sz w:val="24"/>
          <w:szCs w:val="24"/>
        </w:rPr>
        <w:t xml:space="preserve">Use the macro story as context, then test a small, specific business rather than making a broad bet on an entire country.</w:t>
      </w:r>
    </w:p>
    <w:p>
      <w:pPr>
        <w:spacing w:after="140"/>
      </w:pPr>
      <w:r>
        <w:rPr>
          <w:sz w:val="24"/>
          <w:szCs w:val="24"/>
        </w:rPr>
        <w:t xml:space="preserve">Write the investment thesis on one page</w:t>
      </w:r>
    </w:p>
    <w:p>
      <w:pPr>
        <w:spacing w:after="140"/>
      </w:pPr>
      <w:r>
        <w:rPr>
          <w:sz w:val="24"/>
          <w:szCs w:val="24"/>
        </w:rPr>
        <w:t xml:space="preserve">State the problem, customer, reason to pay, competitive advantage, reachable market, three largest risks and the evidence that would make you stop. A useful thesis can be disproved; otherwise it is only enthusiasm.</w:t>
      </w:r>
    </w:p>
    <w:p>
      <w:pPr>
        <w:spacing w:after="140"/>
      </w:pPr>
      <w:r>
        <w:rPr>
          <w:sz w:val="24"/>
          <w:szCs w:val="24"/>
        </w:rPr>
        <w:t xml:space="preserve">Equity, partnership, debt or joint venture?</w:t>
      </w:r>
    </w:p>
    <w:p>
      <w:pPr>
        <w:spacing w:after="140"/>
      </w:pPr>
      <w:r>
        <w:rPr>
          <w:sz w:val="24"/>
          <w:szCs w:val="24"/>
        </w:rPr>
        <w:t xml:space="preserve">Equity shares upside and risk. Debt needs predictable repayment capacity, enforceable terms and security. A joint venture can combine local operations with capital or technology, but requires clear governance.</w:t>
      </w:r>
    </w:p>
    <w:p>
      <w:pPr>
        <w:spacing w:after="140"/>
      </w:pPr>
      <w:r>
        <w:rPr>
          <w:sz w:val="24"/>
          <w:szCs w:val="24"/>
        </w:rPr>
        <w:t xml:space="preserve">Compare control, distributions, tax, currency, information rights, future funding, disputes and exit—not just signing speed.</w:t>
      </w:r>
    </w:p>
    <w:p>
      <w:pPr>
        <w:spacing w:after="140"/>
      </w:pPr>
      <w:r>
        <w:rPr>
          <w:sz w:val="24"/>
          <w:szCs w:val="24"/>
        </w:rPr>
        <w:t xml:space="preserve">Due diligence starts with people</w:t>
      </w:r>
    </w:p>
    <w:p>
      <w:pPr>
        <w:spacing w:after="140"/>
      </w:pPr>
      <w:r>
        <w:rPr>
          <w:sz w:val="24"/>
          <w:szCs w:val="24"/>
        </w:rPr>
        <w:t xml:space="preserve">Verify owners, directors and beneficial owners, then registration, licences, litigation, debt, tax, contracts, customers and suppliers. Reconcile revenue to invoices, bank activity and inventory.</w:t>
      </w:r>
    </w:p>
    <w:p>
      <w:pPr>
        <w:spacing w:after="140"/>
      </w:pPr>
      <w:r>
        <w:rPr>
          <w:sz w:val="24"/>
          <w:szCs w:val="24"/>
        </w:rPr>
        <w:t xml:space="preserve">With consent, call a sample of customers and suppliers. Payment behaviour and dependence on one relationship often reveal more than a spreadsheet.</w:t>
      </w:r>
    </w:p>
    <w:p>
      <w:pPr>
        <w:spacing w:after="140"/>
      </w:pPr>
      <w:r>
        <w:rPr>
          <w:sz w:val="24"/>
          <w:szCs w:val="24"/>
        </w:rPr>
        <w:t xml:space="preserve">A simple but honest financial model</w:t>
      </w:r>
    </w:p>
    <w:p>
      <w:pPr>
        <w:spacing w:after="140"/>
      </w:pPr>
      <w:r>
        <w:rPr>
          <w:sz w:val="24"/>
          <w:szCs w:val="24"/>
        </w:rPr>
        <w:t xml:space="preserve">Build monthly forecasts for at least 24 months. Link revenue to units, pricing and collection; link costs to production, inventory and currency. Model working capital explicitly.</w:t>
      </w:r>
    </w:p>
    <w:p>
      <w:pPr>
        <w:spacing w:after="140"/>
      </w:pPr>
      <w:r>
        <w:rPr>
          <w:sz w:val="24"/>
          <w:szCs w:val="24"/>
        </w:rPr>
        <w:t xml:space="preserve">Stress test a 30% revenue drop, six-month delay, higher input costs and exchange-rate movement. If the business fails under a modest shock, the capital structure needs redesign.</w:t>
      </w:r>
    </w:p>
    <w:p>
      <w:pPr>
        <w:spacing w:after="140"/>
      </w:pPr>
      <w:r>
        <w:rPr>
          <w:sz w:val="24"/>
          <w:szCs w:val="24"/>
        </w:rPr>
        <w:t xml:space="preserve">Valuation is more than a multiple</w:t>
      </w:r>
    </w:p>
    <w:p>
      <w:pPr>
        <w:spacing w:after="140"/>
      </w:pPr>
      <w:r>
        <w:rPr>
          <w:sz w:val="24"/>
          <w:szCs w:val="24"/>
        </w:rPr>
        <w:t xml:space="preserve">Revenue and earnings multiples are reference points, not answers. Use cash flow, assets, replacement cost and regional comparables, then apply an explicit risk adjustment. Separate pre-money and post-money value.</w:t>
      </w:r>
    </w:p>
    <w:p>
      <w:pPr>
        <w:spacing w:after="140"/>
      </w:pPr>
      <w:r>
        <w:rPr>
          <w:sz w:val="24"/>
          <w:szCs w:val="24"/>
        </w:rPr>
        <w:t xml:space="preserve">Terms may matter more than headline valuation: liquidation preference, dilution protection, information rights and milestone-based funding.</w:t>
      </w:r>
    </w:p>
    <w:p>
      <w:pPr>
        <w:spacing w:after="140"/>
      </w:pPr>
      <w:r>
        <w:rPr>
          <w:sz w:val="24"/>
          <w:szCs w:val="24"/>
        </w:rPr>
        <w:t xml:space="preserve">Governance protects founders and investors</w:t>
      </w:r>
    </w:p>
    <w:p>
      <w:pPr>
        <w:spacing w:after="140"/>
      </w:pPr>
      <w:r>
        <w:rPr>
          <w:sz w:val="24"/>
          <w:szCs w:val="24"/>
        </w:rPr>
        <w:t xml:space="preserve">Define board or oversight roles, reserved matters, spending limits, bank signatures, monthly reports, audit and conflicts. Agree what happens if a partner dies, becomes unable to work, exits or breaches duties.</w:t>
      </w:r>
    </w:p>
    <w:p>
      <w:pPr>
        <w:spacing w:after="140"/>
      </w:pPr>
      <w:r>
        <w:rPr>
          <w:sz w:val="24"/>
          <w:szCs w:val="24"/>
        </w:rPr>
        <w:t xml:space="preserve">Match the funding source to the project</w:t>
      </w:r>
    </w:p>
    <w:p>
      <w:pPr>
        <w:spacing w:after="140"/>
      </w:pPr>
      <w:r>
        <w:rPr>
          <w:sz w:val="24"/>
          <w:szCs w:val="24"/>
        </w:rPr>
        <w:t xml:space="preserve">Options include founder capital, angel investors, strategic partners, bank debt, supplier credit, customer advances and development finance. Each carries a different price: interest, equity, guarantees, purchase commitments or operating restrictions.</w:t>
      </w:r>
    </w:p>
    <w:p>
      <w:pPr>
        <w:spacing w:after="140"/>
      </w:pPr>
      <w:r>
        <w:rPr>
          <w:sz w:val="24"/>
          <w:szCs w:val="24"/>
        </w:rPr>
        <w:t xml:space="preserve">Short-term debt can be dangerous for a long-development project even when the nominal rate looks attractive.</w:t>
      </w:r>
    </w:p>
    <w:p>
      <w:pPr>
        <w:spacing w:after="140"/>
      </w:pPr>
      <w:r>
        <w:rPr>
          <w:sz w:val="24"/>
          <w:szCs w:val="24"/>
        </w:rPr>
        <w:t xml:space="preserve">Payments, sanctions and compliance</w:t>
      </w:r>
    </w:p>
    <w:p>
      <w:pPr>
        <w:spacing w:after="140"/>
      </w:pPr>
      <w:r>
        <w:rPr>
          <w:sz w:val="24"/>
          <w:szCs w:val="24"/>
        </w:rPr>
        <w:t xml:space="preserve">International restrictions related to Syria have changed materially, but parties, products, banks and jurisdictions still require screening. Removal of a broad regime does not automatically clear every counterparty or controlled item.</w:t>
      </w:r>
    </w:p>
    <w:p>
      <w:pPr>
        <w:spacing w:after="140"/>
      </w:pPr>
      <w:r>
        <w:rPr>
          <w:sz w:val="24"/>
          <w:szCs w:val="24"/>
        </w:rPr>
        <w:t xml:space="preserve">Maintain source-of-funds, beneficial-ownership, contract, invoice and economic-purpose files. External banks may require more evidence than the founders expect.</w:t>
      </w:r>
    </w:p>
    <w:p>
      <w:pPr>
        <w:spacing w:after="140"/>
      </w:pPr>
      <w:r>
        <w:rPr>
          <w:sz w:val="24"/>
          <w:szCs w:val="24"/>
        </w:rPr>
        <w:t xml:space="preserve">Study sectors, not slogans</w:t>
      </w:r>
    </w:p>
    <w:p>
      <w:pPr>
        <w:spacing w:after="140"/>
      </w:pPr>
      <w:r>
        <w:rPr>
          <w:sz w:val="24"/>
          <w:szCs w:val="24"/>
        </w:rPr>
        <w:t xml:space="preserve">Energy, food, logistics, construction materials, health, software, financial services, tourism and education all show real needs. Choose based on team advantage and verified customer demand. Start with a pilot and measure payment, not praise.</w:t>
      </w:r>
    </w:p>
    <w:p>
      <w:pPr>
        <w:spacing w:after="140"/>
      </w:pPr>
      <w:r>
        <w:rPr>
          <w:sz w:val="24"/>
          <w:szCs w:val="24"/>
        </w:rPr>
        <w:t xml:space="preserve">Plan distributions and exit early</w:t>
      </w:r>
    </w:p>
    <w:p>
      <w:pPr>
        <w:spacing w:after="140"/>
      </w:pPr>
      <w:r>
        <w:rPr>
          <w:sz w:val="24"/>
          <w:szCs w:val="24"/>
        </w:rPr>
        <w:t xml:space="preserve">Agree profit distribution, reinvestment, transfer rights, pre-emption, exit valuation and deadlock. In an illiquid private market, distributions may matter more than a distant sale.</w:t>
      </w:r>
    </w:p>
    <w:p>
      <w:pPr>
        <w:spacing w:after="140"/>
      </w:pPr>
      <w:r>
        <w:rPr>
          <w:sz w:val="24"/>
          <w:szCs w:val="24"/>
        </w:rPr>
        <w:t xml:space="preserve">Twelve-step investment checklist</w:t>
      </w:r>
    </w:p>
    <w:p>
      <w:pPr>
        <w:spacing w:after="140"/>
      </w:pPr>
      <w:r>
        <w:rPr>
          <w:sz w:val="24"/>
          <w:szCs w:val="24"/>
        </w:rPr>
        <w:t xml:space="preserve">Define problem and customer.</w:t>
      </w:r>
    </w:p>
    <w:p>
      <w:pPr>
        <w:spacing w:after="140"/>
      </w:pPr>
      <w:r>
        <w:rPr>
          <w:sz w:val="24"/>
          <w:szCs w:val="24"/>
        </w:rPr>
        <w:t xml:space="preserve">Verify founders and beneficial owner.</w:t>
      </w:r>
    </w:p>
    <w:p>
      <w:pPr>
        <w:spacing w:after="140"/>
      </w:pPr>
      <w:r>
        <w:rPr>
          <w:sz w:val="24"/>
          <w:szCs w:val="24"/>
        </w:rPr>
        <w:t xml:space="preserve">Review registration and licences.</w:t>
      </w:r>
    </w:p>
    <w:p>
      <w:pPr>
        <w:spacing w:after="140"/>
      </w:pPr>
      <w:r>
        <w:rPr>
          <w:sz w:val="24"/>
          <w:szCs w:val="24"/>
        </w:rPr>
        <w:t xml:space="preserve">Reconcile revenue and bank records.</w:t>
      </w:r>
    </w:p>
    <w:p>
      <w:pPr>
        <w:spacing w:after="140"/>
      </w:pPr>
      <w:r>
        <w:rPr>
          <w:sz w:val="24"/>
          <w:szCs w:val="24"/>
        </w:rPr>
        <w:t xml:space="preserve">Check customers and suppliers.</w:t>
      </w:r>
    </w:p>
    <w:p>
      <w:pPr>
        <w:spacing w:after="140"/>
      </w:pPr>
      <w:r>
        <w:rPr>
          <w:sz w:val="24"/>
          <w:szCs w:val="24"/>
        </w:rPr>
        <w:t xml:space="preserve">Build a monthly model.</w:t>
      </w:r>
    </w:p>
    <w:p>
      <w:pPr>
        <w:spacing w:after="140"/>
      </w:pPr>
      <w:r>
        <w:rPr>
          <w:sz w:val="24"/>
          <w:szCs w:val="24"/>
        </w:rPr>
        <w:t xml:space="preserve">Run stress tests.</w:t>
      </w:r>
    </w:p>
    <w:p>
      <w:pPr>
        <w:spacing w:after="140"/>
      </w:pPr>
      <w:r>
        <w:rPr>
          <w:sz w:val="24"/>
          <w:szCs w:val="24"/>
        </w:rPr>
        <w:t xml:space="preserve">Set valuation and terms.</w:t>
      </w:r>
    </w:p>
    <w:p>
      <w:pPr>
        <w:spacing w:after="140"/>
      </w:pPr>
      <w:r>
        <w:rPr>
          <w:sz w:val="24"/>
          <w:szCs w:val="24"/>
        </w:rPr>
        <w:t xml:space="preserve">Create governance and reporting.</w:t>
      </w:r>
    </w:p>
    <w:p>
      <w:pPr>
        <w:spacing w:after="140"/>
      </w:pPr>
      <w:r>
        <w:rPr>
          <w:sz w:val="24"/>
          <w:szCs w:val="24"/>
        </w:rPr>
        <w:t xml:space="preserve">Review compliance and transfers.</w:t>
      </w:r>
    </w:p>
    <w:p>
      <w:pPr>
        <w:spacing w:after="140"/>
      </w:pPr>
      <w:r>
        <w:rPr>
          <w:sz w:val="24"/>
          <w:szCs w:val="24"/>
        </w:rPr>
        <w:t xml:space="preserve">Plan the next funding round.</w:t>
      </w:r>
    </w:p>
    <w:p>
      <w:pPr>
        <w:spacing w:after="140"/>
      </w:pPr>
      <w:r>
        <w:rPr>
          <w:sz w:val="24"/>
          <w:szCs w:val="24"/>
        </w:rPr>
        <w:t xml:space="preserve">Write the exit scenario.</w:t>
      </w:r>
    </w:p>
    <w:p>
      <w:pPr>
        <w:spacing w:after="140"/>
      </w:pPr>
      <w:r>
        <w:rPr>
          <w:sz w:val="24"/>
          <w:szCs w:val="24"/>
        </w:rPr>
        <w:t xml:space="preserve">Use a term sheet before the long contract</w:t>
      </w:r>
    </w:p>
    <w:p>
      <w:pPr>
        <w:spacing w:after="140"/>
      </w:pPr>
      <w:r>
        <w:rPr>
          <w:sz w:val="24"/>
          <w:szCs w:val="24"/>
        </w:rPr>
        <w:t xml:space="preserve">Summarise investment amount, valuation, ownership, instrument, funding milestones, use of proceeds, information rights, reserved matters, dilution, distributions and exit. State which provisions are binding, including confidentiality and exclusivity.</w:t>
      </w:r>
    </w:p>
    <w:p>
      <w:pPr>
        <w:spacing w:after="140"/>
      </w:pPr>
      <w:r>
        <w:rPr>
          <w:sz w:val="24"/>
          <w:szCs w:val="24"/>
        </w:rPr>
        <w:t xml:space="preserve">A term sheet does not replace definitive agreements, but it exposes disagreements early. If control, economics and exit are unresolved, detailed drafting will not solve the commercial gap.</w:t>
      </w:r>
    </w:p>
    <w:p>
      <w:pPr>
        <w:spacing w:after="140"/>
      </w:pPr>
      <w:r>
        <w:rPr>
          <w:sz w:val="24"/>
          <w:szCs w:val="24"/>
        </w:rPr>
        <w:t xml:space="preserve">What belongs in the data room?</w:t>
      </w:r>
    </w:p>
    <w:p>
      <w:pPr>
        <w:spacing w:after="140"/>
      </w:pPr>
      <w:r>
        <w:rPr>
          <w:sz w:val="24"/>
          <w:szCs w:val="24"/>
        </w:rPr>
        <w:t xml:space="preserve">Request incorporation records, shareholder register, licences, major contracts, statements, bank activity, tax, payroll, intellectual property, litigation, customer and supplier lists and data-protection practices. Maintain an exceptions list and obtain written explanations for material gaps.</w:t>
      </w:r>
    </w:p>
    <w:p>
      <w:pPr>
        <w:spacing w:after="140"/>
      </w:pPr>
      <w:r>
        <w:rPr>
          <w:sz w:val="24"/>
          <w:szCs w:val="24"/>
        </w:rPr>
        <w:t xml:space="preserve">A presentation tells the story; the data room proves it.</w:t>
      </w:r>
    </w:p>
    <w:p>
      <w:pPr>
        <w:spacing w:after="140"/>
      </w:pPr>
      <w:r>
        <w:rPr>
          <w:sz w:val="24"/>
          <w:szCs w:val="24"/>
        </w:rPr>
        <w:t xml:space="preserve">Currency and pricing risk</w:t>
      </w:r>
    </w:p>
    <w:p>
      <w:pPr>
        <w:spacing w:after="140"/>
      </w:pPr>
      <w:r>
        <w:rPr>
          <w:sz w:val="24"/>
          <w:szCs w:val="24"/>
        </w:rPr>
        <w:t xml:space="preserve">If sales and costs are in different currencies, margin can move even when volume is stable. Define repricing rights, fixed-price periods, inventory buffers and customer acceptance. Model more than one exchange-rate scenario.</w:t>
      </w:r>
    </w:p>
    <w:p>
      <w:pPr>
        <w:spacing w:after="140"/>
      </w:pPr>
      <w:r>
        <w:rPr>
          <w:sz w:val="24"/>
          <w:szCs w:val="24"/>
        </w:rPr>
        <w:t xml:space="preserve">Separate operating performance from currency gains or losses. A company can look profitable because of a temporary exchange movement.</w:t>
      </w:r>
    </w:p>
    <w:p>
      <w:pPr>
        <w:spacing w:after="140"/>
      </w:pPr>
      <w:r>
        <w:rPr>
          <w:sz w:val="24"/>
          <w:szCs w:val="24"/>
        </w:rPr>
        <w:t xml:space="preserve">A monthly investor dashboard</w:t>
      </w:r>
    </w:p>
    <w:p>
      <w:pPr>
        <w:spacing w:after="140"/>
      </w:pPr>
      <w:r>
        <w:rPr>
          <w:sz w:val="24"/>
          <w:szCs w:val="24"/>
        </w:rPr>
        <w:t xml:space="preserve">Track collected revenue, gross margin, cash, receivables, inventory, active customers, top-five customer concentration, tax and payroll obligations and milestones. Every variance should have an owner and response date.</w:t>
      </w:r>
    </w:p>
    <w:p>
      <w:pPr>
        <w:spacing w:after="140"/>
      </w:pPr>
      <w:r>
        <w:rPr>
          <w:sz w:val="24"/>
          <w:szCs w:val="24"/>
        </w:rPr>
        <w:t xml:space="preserve">Founder pay and related-party transactions</w:t>
      </w:r>
    </w:p>
    <w:p>
      <w:pPr>
        <w:spacing w:after="140"/>
      </w:pPr>
      <w:r>
        <w:rPr>
          <w:sz w:val="24"/>
          <w:szCs w:val="24"/>
        </w:rPr>
        <w:t xml:space="preserve">Agree salary, bonus, expenses and dealings with businesses owned by founders or relatives. Related-party transactions should be documented, supportable and approved when they exceed defined limits.</w:t>
      </w:r>
    </w:p>
    <w:p>
      <w:pPr>
        <w:spacing w:after="140"/>
      </w:pPr>
      <w:r>
        <w:rPr>
          <w:sz w:val="24"/>
          <w:szCs w:val="24"/>
        </w:rPr>
        <w:t xml:space="preserve">Authoritative external resources</w:t>
      </w:r>
    </w:p>
    <w:p>
      <w:pPr>
        <w:spacing w:after="140"/>
      </w:pPr>
      <w:r>
        <w:rPr>
          <w:sz w:val="24"/>
          <w:szCs w:val="24"/>
        </w:rPr>
        <w:t xml:space="preserve">World Bank Syria macro-fiscal assessment</w:t>
      </w:r>
    </w:p>
    <w:p>
      <w:pPr>
        <w:spacing w:after="140"/>
      </w:pPr>
      <w:r>
        <w:rPr>
          <w:sz w:val="24"/>
          <w:szCs w:val="24"/>
        </w:rPr>
        <w:t xml:space="preserve">World Bank Syria country update</w:t>
      </w:r>
    </w:p>
    <w:p>
      <w:pPr>
        <w:spacing w:after="140"/>
      </w:pPr>
      <w:r>
        <w:rPr>
          <w:sz w:val="24"/>
          <w:szCs w:val="24"/>
        </w:rPr>
        <w:t xml:space="preserve">Syrian Investment Authority</w:t>
      </w:r>
    </w:p>
    <w:p>
      <w:pPr>
        <w:spacing w:after="140"/>
      </w:pPr>
      <w:r>
        <w:rPr>
          <w:sz w:val="24"/>
          <w:szCs w:val="24"/>
        </w:rPr>
        <w:t xml:space="preserve">UNCTAD investment-policy update</w:t>
      </w:r>
    </w:p>
    <w:p>
      <w:pPr>
        <w:spacing w:after="140"/>
      </w:pPr>
      <w:r>
        <w:rPr>
          <w:sz w:val="24"/>
          <w:szCs w:val="24"/>
        </w:rPr>
        <w:t xml:space="preserve">World Bank public-finance project</w:t>
      </w:r>
    </w:p>
    <w:p>
      <w:pPr>
        <w:spacing w:after="140"/>
      </w:pPr>
      <w:r>
        <w:rPr>
          <w:sz w:val="24"/>
          <w:szCs w:val="24"/>
        </w:rPr>
        <w:t xml:space="preserve">Useful Bsouria links</w:t>
      </w:r>
    </w:p>
    <w:p>
      <w:pPr>
        <w:spacing w:after="140"/>
      </w:pPr>
      <w:r>
        <w:rPr>
          <w:sz w:val="24"/>
          <w:szCs w:val="24"/>
        </w:rPr>
        <w:t xml:space="preserve">Business due-diligence guide</w:t>
      </w:r>
    </w:p>
    <w:p>
      <w:pPr>
        <w:spacing w:after="140"/>
      </w:pPr>
      <w:r>
        <w:rPr>
          <w:sz w:val="24"/>
          <w:szCs w:val="24"/>
        </w:rPr>
        <w:t xml:space="preserve">Taxes and fees guide</w:t>
      </w:r>
    </w:p>
    <w:p>
      <w:pPr>
        <w:spacing w:after="140"/>
      </w:pPr>
      <w:r>
        <w:rPr>
          <w:sz w:val="24"/>
          <w:szCs w:val="24"/>
        </w:rPr>
        <w:t xml:space="preserve">Business directory</w:t>
      </w:r>
    </w:p>
    <w:p>
      <w:pPr>
        <w:spacing w:after="140"/>
      </w:pPr>
      <w:r>
        <w:rPr>
          <w:sz w:val="24"/>
          <w:szCs w:val="24"/>
        </w:rPr>
        <w:t xml:space="preserve">Investment opportunities</w:t>
      </w:r>
    </w:p>
    <w:p>
      <w:pPr>
        <w:spacing w:after="140"/>
      </w:pPr>
      <w:r>
        <w:rPr>
          <w:sz w:val="24"/>
          <w:szCs w:val="24"/>
        </w:rPr>
        <w:t xml:space="preserve">Post an opportunity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Syria Investment and Finance Guide 2026: How to Evaluate and Structure a Deal</dc:title>
  <dc:creator>Bsouria Editorial Team</dc:creator>
  <cp:lastModifiedBy>Bsouria</cp:lastModifiedBy>
  <dcterms:created xsi:type="dcterms:W3CDTF">2026-09-15T14:27:53Z</dcterms:created>
</cp:coreProperties>
</file>