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Financing a Business Project in Syria in 2026: Equity, Debt and Deal Control</w:t>
      </w:r>
    </w:p>
    <w:p>
      <w:pPr/>
      <w:r>
        <w:rPr>
          <w:i/>
          <w:color w:val="64736B"/>
        </w:rPr>
        <w:t>Bsouria Editorial · 2026-07-26</w:t>
      </w:r>
    </w:p>
    <w:p>
      <w:pPr>
        <w:spacing w:after="220"/>
      </w:pPr>
      <w:r>
        <w:rPr>
          <w:i/>
        </w:rPr>
        <w:t>A practical guide to cash gaps, equity versus debt, valuation, term sheets, due diligence, cross-border compliance and governance.</w:t>
      </w:r>
    </w:p>
    <w:p>
      <w:pPr>
        <w:spacing w:after="140"/>
      </w:pPr>
      <w:r>
        <w:rPr>
          <w:sz w:val="24"/>
          <w:szCs w:val="24"/>
        </w:rPr>
        <w:t xml:space="preserve">A business does not always fail because it lacks accounting profit. Many businesses stop because cash arrives after payroll, short-term debt finances a long-life asset, or a founder’s payment is never defined as equity or debt. This guide explains how to finance a Syrian project around its actual cash cycle and negotiate with investors, banks, suppliers and partners without hiding risk or surrendering control blindly.</w:t>
      </w:r>
    </w:p>
    <w:p>
      <w:pPr>
        <w:spacing w:after="140"/>
      </w:pPr>
      <w:r>
        <w:rPr>
          <w:sz w:val="24"/>
          <w:szCs w:val="24"/>
        </w:rPr>
        <w:t xml:space="preserve">Notice: This is general educational content, not investment or banking advice. Confirm current law, sanctions, banking compliance and source-of-funds requirements with qualified advisers before a transfer or securities offer.</w:t>
      </w:r>
    </w:p>
    <w:p>
      <w:pPr>
        <w:spacing w:after="140"/>
      </w:pPr>
      <w:r>
        <w:rPr>
          <w:sz w:val="24"/>
          <w:szCs w:val="24"/>
        </w:rPr>
        <w:t xml:space="preserve">Start with the cash cycle, not the funding target</w:t>
      </w:r>
    </w:p>
    <w:p>
      <w:pPr>
        <w:spacing w:after="140"/>
      </w:pPr>
      <w:r>
        <w:rPr>
          <w:sz w:val="24"/>
          <w:szCs w:val="24"/>
        </w:rPr>
        <w:t xml:space="preserve">The first question is not “How much money do we want?” It is “When do we pay and when do we collect?” A transaction can be profitable but consume cash for months because inventory is purchased now and the customer pays ninety days after delivery.</w:t>
      </w:r>
    </w:p>
    <w:p>
      <w:pPr>
        <w:spacing w:after="140"/>
      </w:pPr>
      <w:r>
        <w:rPr>
          <w:sz w:val="24"/>
          <w:szCs w:val="24"/>
        </w:rPr>
        <w:t xml:space="preserve">Draw a timeline for supplier deposit, production, freight, customs, storage, delivery, invoice and collection. Calculate the highest monthly working-capital gap, then add a reserve for interruption, delay and price movement. Finance the survivable scenario, not only the best case.</w:t>
      </w:r>
    </w:p>
    <w:p>
      <w:pPr>
        <w:spacing w:after="140"/>
      </w:pPr>
      <w:r>
        <w:rPr>
          <w:sz w:val="24"/>
          <w:szCs w:val="24"/>
        </w:rPr>
        <w:t xml:space="preserve">IndicatorSimple calculationWhat it revealsCollection daysAverage receivables ÷ credit sales × period daysHow long customers keep your cashInventory daysAverage inventory ÷ cost of sales × period daysHow long cash sits in stockSupplier daysAverage payables ÷ purchases × period daysHow long suppliers finance youCash gapCollection days + inventory days − supplier daysThe period the business must fund</w:t>
      </w:r>
    </w:p>
    <w:p>
      <w:pPr>
        <w:spacing w:after="140"/>
      </w:pPr>
      <w:r>
        <w:rPr>
          <w:sz w:val="24"/>
          <w:szCs w:val="24"/>
        </w:rPr>
        <w:t xml:space="preserve">Map funding sources to uses</w:t>
      </w:r>
    </w:p>
    <w:p>
      <w:pPr>
        <w:spacing w:after="140"/>
      </w:pPr>
      <w:r>
        <w:rPr>
          <w:sz w:val="24"/>
          <w:szCs w:val="24"/>
        </w:rPr>
        <w:t xml:space="preserve">There is no perfect source. There is a source suitable for a particular use. Long-life assets need longer money, seasonal stock needs shorter money and an uncertain experiment needs risk-bearing capital more than a fixed repayment.</w:t>
      </w:r>
    </w:p>
    <w:p>
      <w:pPr>
        <w:spacing w:after="140"/>
      </w:pPr>
      <w:r>
        <w:rPr>
          <w:sz w:val="24"/>
          <w:szCs w:val="24"/>
        </w:rPr>
        <w:t xml:space="preserve">SourceOften suitable forCost or riskFounder equityLaunch, testing and uncollateralized costsConcentrates founder riskEquity partnerGrowth needing capital, knowledge or market accessDilution and shared controlShareholder loanDefined gap with visible repayment sourceDispute if priority, interest and term are unclearSupplier creditRepeated inventory and stable relationshipHigher price or supplier concentrationCustomer advanceCustomized product or long contractDelivery obligation and refund exposureBank loanProven cash flow and suitable securityFixed repayment, security and complianceRevenue-based fundingMeasurable recurring revenueRevenue deduction can compress marginProject financeLarge asset or contracted independent cash flowMore contracts, security, reporting and complexity</w:t>
      </w:r>
    </w:p>
    <w:p>
      <w:pPr>
        <w:spacing w:after="140"/>
      </w:pPr>
      <w:r>
        <w:rPr>
          <w:sz w:val="24"/>
          <w:szCs w:val="24"/>
        </w:rPr>
        <w:t xml:space="preserve">When to use equity and when to use debt</w:t>
      </w:r>
    </w:p>
    <w:p>
      <w:pPr>
        <w:spacing w:after="140"/>
      </w:pPr>
      <w:r>
        <w:rPr>
          <w:sz w:val="24"/>
          <w:szCs w:val="24"/>
        </w:rPr>
        <w:t xml:space="preserve">Use equity when return is distant or uncertain, or when the partner contributes capability and shares downside risk. Use debt when the repayment source and timing can be identified and the business can still pay under a weaker scenario.</w:t>
      </w:r>
    </w:p>
    <w:p>
      <w:pPr>
        <w:spacing w:after="140"/>
      </w:pPr>
      <w:r>
        <w:rPr>
          <w:sz w:val="24"/>
          <w:szCs w:val="24"/>
        </w:rPr>
        <w:t xml:space="preserve">A serious mismatch is short-term debt funding an asset that produces cash over years. The opposite mistake is selling a large ownership percentage to finance inventory that converts to cash within months.</w:t>
      </w:r>
    </w:p>
    <w:p>
      <w:pPr>
        <w:spacing w:after="140"/>
      </w:pPr>
      <w:r>
        <w:rPr>
          <w:sz w:val="24"/>
          <w:szCs w:val="24"/>
        </w:rPr>
        <w:t xml:space="preserve">Stress test: if sales fall 25% and collection is delayed by two months, can the business still pay wages and debt service? If not, the debt amount or term is unsafe.</w:t>
      </w:r>
    </w:p>
    <w:p>
      <w:pPr>
        <w:spacing w:after="140"/>
      </w:pPr>
      <w:r>
        <w:rPr>
          <w:sz w:val="24"/>
          <w:szCs w:val="24"/>
        </w:rPr>
        <w:t xml:space="preserve">Valuation is not a multiple written on a slide</w:t>
      </w:r>
    </w:p>
    <w:p>
      <w:pPr>
        <w:spacing w:after="140"/>
      </w:pPr>
      <w:r>
        <w:rPr>
          <w:sz w:val="24"/>
          <w:szCs w:val="24"/>
        </w:rPr>
        <w:t xml:space="preserve">For a private SME, “five times earnings” is not a conclusion. Normalize earnings by removing personal spending and one-off income. Then examine working capital, founder balances, customer concentration, transferability of contracts, record quality and dependence on one person.</w:t>
      </w:r>
    </w:p>
    <w:p>
      <w:pPr>
        <w:spacing w:after="140"/>
      </w:pPr>
      <w:r>
        <w:rPr>
          <w:sz w:val="24"/>
          <w:szCs w:val="24"/>
        </w:rPr>
        <w:t xml:space="preserve">Use three lenses: net asset value after liabilities, future cash-generation capacity and relevant comparable transactions where reliable data exists. Document why each method deserves weight. Valuation is an evidence-based negotiation, not a laboratory fact.</w:t>
      </w:r>
    </w:p>
    <w:p>
      <w:pPr>
        <w:spacing w:after="140"/>
      </w:pPr>
      <w:r>
        <w:rPr>
          <w:sz w:val="24"/>
          <w:szCs w:val="24"/>
        </w:rPr>
        <w:t xml:space="preserve">A term sheet must describe economics and control</w:t>
      </w:r>
    </w:p>
    <w:p>
      <w:pPr>
        <w:spacing w:after="140"/>
      </w:pPr>
      <w:r>
        <w:rPr>
          <w:sz w:val="24"/>
          <w:szCs w:val="24"/>
        </w:rPr>
        <w:t xml:space="preserve">A useful term sheet covers more than amount and percentage. It states the instrument, pre- and post-money value, payment schedule, closing conditions, use of funds, board structure, reserved matters, liquidation priority, dilution protection, information rights and exit rights.</w:t>
      </w:r>
    </w:p>
    <w:p>
      <w:pPr>
        <w:spacing w:after="140"/>
      </w:pPr>
      <w:r>
        <w:rPr>
          <w:sz w:val="24"/>
          <w:szCs w:val="24"/>
        </w:rPr>
        <w:t xml:space="preserve">Amount, currency and drawdown schedule.</w:t>
      </w:r>
    </w:p>
    <w:p>
      <w:pPr>
        <w:spacing w:after="140"/>
      </w:pPr>
      <w:r>
        <w:rPr>
          <w:sz w:val="24"/>
          <w:szCs w:val="24"/>
        </w:rPr>
        <w:t xml:space="preserve">Equity, shareholder loan, convertible instrument or another structure.</w:t>
      </w:r>
    </w:p>
    <w:p>
      <w:pPr>
        <w:spacing w:after="140"/>
      </w:pPr>
      <w:r>
        <w:rPr>
          <w:sz w:val="24"/>
          <w:szCs w:val="24"/>
        </w:rPr>
        <w:t xml:space="preserve">Conditions before money moves.</w:t>
      </w:r>
    </w:p>
    <w:p>
      <w:pPr>
        <w:spacing w:after="140"/>
      </w:pPr>
      <w:r>
        <w:rPr>
          <w:sz w:val="24"/>
          <w:szCs w:val="24"/>
        </w:rPr>
        <w:t xml:space="preserve">Approval rights over budget, debt and asset sales.</w:t>
      </w:r>
    </w:p>
    <w:p>
      <w:pPr>
        <w:spacing w:after="140"/>
      </w:pPr>
      <w:r>
        <w:rPr>
          <w:sz w:val="24"/>
          <w:szCs w:val="24"/>
        </w:rPr>
        <w:t xml:space="preserve">Treatment of a later round at a lower price.</w:t>
      </w:r>
    </w:p>
    <w:p>
      <w:pPr>
        <w:spacing w:after="140"/>
      </w:pPr>
      <w:r>
        <w:rPr>
          <w:sz w:val="24"/>
          <w:szCs w:val="24"/>
        </w:rPr>
        <w:t xml:space="preserve">Consequences of missing agreed milestones.</w:t>
      </w:r>
    </w:p>
    <w:p>
      <w:pPr>
        <w:spacing w:after="140"/>
      </w:pPr>
      <w:r>
        <w:rPr>
          <w:sz w:val="24"/>
          <w:szCs w:val="24"/>
        </w:rPr>
        <w:t xml:space="preserve">Priority on sale or liquidation.</w:t>
      </w:r>
    </w:p>
    <w:p>
      <w:pPr>
        <w:spacing w:after="140"/>
      </w:pPr>
      <w:r>
        <w:rPr>
          <w:sz w:val="24"/>
          <w:szCs w:val="24"/>
        </w:rPr>
        <w:t xml:space="preserve">Founder and investor transfer, tag and drag rights.</w:t>
      </w:r>
    </w:p>
    <w:p>
      <w:pPr>
        <w:spacing w:after="140"/>
      </w:pPr>
      <w:r>
        <w:rPr>
          <w:sz w:val="24"/>
          <w:szCs w:val="24"/>
        </w:rPr>
        <w:t xml:space="preserve">A financial model that can be defended</w:t>
      </w:r>
    </w:p>
    <w:p>
      <w:pPr>
        <w:spacing w:after="140"/>
      </w:pPr>
      <w:r>
        <w:rPr>
          <w:sz w:val="24"/>
          <w:szCs w:val="24"/>
        </w:rPr>
        <w:t xml:space="preserve">Keep the model simple enough to explain and detailed enough to test. Separate customer count from price, price from discount, sales from collection and fixed from variable cost. Do not assume the same monthly growth without an operating reason.</w:t>
      </w:r>
    </w:p>
    <w:p>
      <w:pPr>
        <w:spacing w:after="140"/>
      </w:pPr>
      <w:r>
        <w:rPr>
          <w:sz w:val="24"/>
          <w:szCs w:val="24"/>
        </w:rPr>
        <w:t xml:space="preserve">Build base, downside and stress scenarios. In the stress case, test supplier delay, lower sales, higher input cost and loss of a payment channel. Show the month cash runs out, not only the month accounting profit becomes negative.</w:t>
      </w:r>
    </w:p>
    <w:p>
      <w:pPr>
        <w:spacing w:after="140"/>
      </w:pPr>
      <w:r>
        <w:rPr>
          <w:sz w:val="24"/>
          <w:szCs w:val="24"/>
        </w:rPr>
        <w:t xml:space="preserve">A dated assumption register with sources.</w:t>
      </w:r>
    </w:p>
    <w:p>
      <w:pPr>
        <w:spacing w:after="140"/>
      </w:pPr>
      <w:r>
        <w:rPr>
          <w:sz w:val="24"/>
          <w:szCs w:val="24"/>
        </w:rPr>
        <w:t xml:space="preserve">Monthly cash flow for 18–24 months.</w:t>
      </w:r>
    </w:p>
    <w:p>
      <w:pPr>
        <w:spacing w:after="140"/>
      </w:pPr>
      <w:r>
        <w:rPr>
          <w:sz w:val="24"/>
          <w:szCs w:val="24"/>
        </w:rPr>
        <w:t xml:space="preserve">Use-of-funds budget by tranche.</w:t>
      </w:r>
    </w:p>
    <w:p>
      <w:pPr>
        <w:spacing w:after="140"/>
      </w:pPr>
      <w:r>
        <w:rPr>
          <w:sz w:val="24"/>
          <w:szCs w:val="24"/>
        </w:rPr>
        <w:t xml:space="preserve">Break-even in units or customers, not revenue only.</w:t>
      </w:r>
    </w:p>
    <w:p>
      <w:pPr>
        <w:spacing w:after="140"/>
      </w:pPr>
      <w:r>
        <w:rPr>
          <w:sz w:val="24"/>
          <w:szCs w:val="24"/>
        </w:rPr>
        <w:t xml:space="preserve">Sensitivity to price, volume, collection and currency.</w:t>
      </w:r>
    </w:p>
    <w:p>
      <w:pPr>
        <w:spacing w:after="140"/>
      </w:pPr>
      <w:r>
        <w:rPr>
          <w:sz w:val="24"/>
          <w:szCs w:val="24"/>
        </w:rPr>
        <w:t xml:space="preserve">A minimum cash floor that management cannot cross.</w:t>
      </w:r>
    </w:p>
    <w:p>
      <w:pPr>
        <w:spacing w:after="140"/>
      </w:pPr>
      <w:r>
        <w:rPr>
          <w:sz w:val="24"/>
          <w:szCs w:val="24"/>
        </w:rPr>
        <w:t xml:space="preserve">What a disciplined funder will check</w:t>
      </w:r>
    </w:p>
    <w:p>
      <w:pPr>
        <w:spacing w:after="140"/>
      </w:pPr>
      <w:r>
        <w:rPr>
          <w:sz w:val="24"/>
          <w:szCs w:val="24"/>
        </w:rPr>
        <w:t xml:space="preserve">A professional funder looks beyond the deck. Expect checks on legal existence, beneficial ownership, signing authority, licences, tax, contracts, bank statements, customers, suppliers, debt, disputes, intellectual property, employees and related parties.</w:t>
      </w:r>
    </w:p>
    <w:p>
      <w:pPr>
        <w:spacing w:after="140"/>
      </w:pPr>
      <w:r>
        <w:rPr>
          <w:sz w:val="24"/>
          <w:szCs w:val="24"/>
        </w:rPr>
        <w:t xml:space="preserve">Build an indexed data room and connect each major claim to evidence. A three-year contract must be reviewed for termination and payment terms. A 30% margin must be traceable to invoices and cost allocation.</w:t>
      </w:r>
    </w:p>
    <w:p>
      <w:pPr>
        <w:spacing w:after="140"/>
      </w:pPr>
      <w:r>
        <w:rPr>
          <w:sz w:val="24"/>
          <w:szCs w:val="24"/>
        </w:rPr>
        <w:t xml:space="preserve">Use Bsouria’s Business, Legal and Investment Verification Guide to structure due diligence.</w:t>
      </w:r>
    </w:p>
    <w:p>
      <w:pPr>
        <w:spacing w:after="140"/>
      </w:pPr>
      <w:r>
        <w:rPr>
          <w:sz w:val="24"/>
          <w:szCs w:val="24"/>
        </w:rPr>
        <w:t xml:space="preserve">Cross-border funding: compliance is part of the transaction</w:t>
      </w:r>
    </w:p>
    <w:p>
      <w:pPr>
        <w:spacing w:after="140"/>
      </w:pPr>
      <w:r>
        <w:rPr>
          <w:sz w:val="24"/>
          <w:szCs w:val="24"/>
        </w:rPr>
        <w:t xml:space="preserve">A willing investor is not enough. The bank, route, purpose, beneficial owner and documents must meet the compliance rules applied by the parties, jurisdictions and financial institutions.</w:t>
      </w:r>
    </w:p>
    <w:p>
      <w:pPr>
        <w:spacing w:after="140"/>
      </w:pPr>
      <w:r>
        <w:rPr>
          <w:sz w:val="24"/>
          <w:szCs w:val="24"/>
        </w:rPr>
        <w:t xml:space="preserve">The international framework concerning Syria has changed substantially, but relief should not be read as a universal permission. Restrictions can remain linked to persons, entities, goods, banks or locations. Check current official lists and ask the receiving and sending banks for requirements before signing and before the expected closing date.</w:t>
      </w:r>
    </w:p>
    <w:p>
      <w:pPr>
        <w:spacing w:after="140"/>
      </w:pPr>
      <w:r>
        <w:rPr>
          <w:sz w:val="24"/>
          <w:szCs w:val="24"/>
        </w:rPr>
        <w:t xml:space="preserve">New money should produce better governance</w:t>
      </w:r>
    </w:p>
    <w:p>
      <w:pPr>
        <w:spacing w:after="140"/>
      </w:pPr>
      <w:r>
        <w:rPr>
          <w:sz w:val="24"/>
          <w:szCs w:val="24"/>
        </w:rPr>
        <w:t xml:space="preserve">Agree a short monthly report covering cash, collection, inventory, sales, margin, liabilities, forecast and variance from budget. Investors do not need decorative pages; they need numbers that reconcile and decisions that require action.</w:t>
      </w:r>
    </w:p>
    <w:p>
      <w:pPr>
        <w:spacing w:after="140"/>
      </w:pPr>
      <w:r>
        <w:rPr>
          <w:sz w:val="24"/>
          <w:szCs w:val="24"/>
        </w:rPr>
        <w:t xml:space="preserve">Separate board matters from management matters. Investor protection should not require approval of every invoice, and founder autonomy should not permit unbudgeted use of funds without disclosure.</w:t>
      </w:r>
    </w:p>
    <w:p>
      <w:pPr>
        <w:spacing w:after="140"/>
      </w:pPr>
      <w:r>
        <w:rPr>
          <w:sz w:val="24"/>
          <w:szCs w:val="24"/>
        </w:rPr>
        <w:t xml:space="preserve">A six-step funding plan</w:t>
      </w:r>
    </w:p>
    <w:p>
      <w:pPr>
        <w:spacing w:after="140"/>
      </w:pPr>
      <w:r>
        <w:rPr>
          <w:sz w:val="24"/>
          <w:szCs w:val="24"/>
        </w:rPr>
        <w:t xml:space="preserve">Map the cash cycle and highest monthly gap.</w:t>
      </w:r>
    </w:p>
    <w:p>
      <w:pPr>
        <w:spacing w:after="140"/>
      </w:pPr>
      <w:r>
        <w:rPr>
          <w:sz w:val="24"/>
          <w:szCs w:val="24"/>
        </w:rPr>
        <w:t xml:space="preserve">Separate long-term assets, working capital and high-risk experiments.</w:t>
      </w:r>
    </w:p>
    <w:p>
      <w:pPr>
        <w:spacing w:after="140"/>
      </w:pPr>
      <w:r>
        <w:rPr>
          <w:sz w:val="24"/>
          <w:szCs w:val="24"/>
        </w:rPr>
        <w:t xml:space="preserve">Choose a suitable instrument for each use.</w:t>
      </w:r>
    </w:p>
    <w:p>
      <w:pPr>
        <w:spacing w:after="140"/>
      </w:pPr>
      <w:r>
        <w:rPr>
          <w:sz w:val="24"/>
          <w:szCs w:val="24"/>
        </w:rPr>
        <w:t xml:space="preserve">Run a stress case and define safe debt capacity.</w:t>
      </w:r>
    </w:p>
    <w:p>
      <w:pPr>
        <w:spacing w:after="140"/>
      </w:pPr>
      <w:r>
        <w:rPr>
          <w:sz w:val="24"/>
          <w:szCs w:val="24"/>
        </w:rPr>
        <w:t xml:space="preserve">Prepare the data room and a concise term sheet.</w:t>
      </w:r>
    </w:p>
    <w:p>
      <w:pPr>
        <w:spacing w:after="140"/>
      </w:pPr>
      <w:r>
        <w:rPr>
          <w:sz w:val="24"/>
          <w:szCs w:val="24"/>
        </w:rPr>
        <w:t xml:space="preserve">Link tranches to milestones and reporting.</w:t>
      </w:r>
    </w:p>
    <w:p>
      <w:pPr>
        <w:spacing w:after="140"/>
      </w:pPr>
      <w:r>
        <w:rPr>
          <w:sz w:val="24"/>
          <w:szCs w:val="24"/>
        </w:rPr>
        <w:t xml:space="preserve">Publish a clear investment or funding opportunity on Bsouria or browse investment opportunities. State the amount, use, milestones, structure and main risks. “Serious investor wanted” is not a financing plan.</w:t>
      </w:r>
    </w:p>
    <w:p>
      <w:pPr>
        <w:spacing w:after="140"/>
      </w:pPr>
      <w:r>
        <w:rPr>
          <w:sz w:val="24"/>
          <w:szCs w:val="24"/>
        </w:rPr>
        <w:t xml:space="preserve">Three different funding examples</w:t>
      </w:r>
    </w:p>
    <w:p>
      <w:pPr>
        <w:spacing w:after="140"/>
      </w:pPr>
      <w:r>
        <w:rPr>
          <w:sz w:val="24"/>
          <w:szCs w:val="24"/>
        </w:rPr>
        <w:t xml:space="preserve">A seasonal importer</w:t>
      </w:r>
    </w:p>
    <w:p>
      <w:pPr>
        <w:spacing w:after="140"/>
      </w:pPr>
      <w:r>
        <w:rPr>
          <w:sz w:val="24"/>
          <w:szCs w:val="24"/>
        </w:rPr>
        <w:t xml:space="preserve">If inventory takes four months, collection two months and the supplier grants one month, the cash gap is roughly five months. A working-capital line, supplier credit or customer advance can fit better than permanently selling equity every season. Link drawdowns to purchase orders and traceable inventory.</w:t>
      </w:r>
    </w:p>
    <w:p>
      <w:pPr>
        <w:spacing w:after="140"/>
      </w:pPr>
      <w:r>
        <w:rPr>
          <w:sz w:val="24"/>
          <w:szCs w:val="24"/>
        </w:rPr>
        <w:t xml:space="preserve">A digital services company</w:t>
      </w:r>
    </w:p>
    <w:p>
      <w:pPr>
        <w:spacing w:after="140"/>
      </w:pPr>
      <w:r>
        <w:rPr>
          <w:sz w:val="24"/>
          <w:szCs w:val="24"/>
        </w:rPr>
        <w:t xml:space="preserve">It may hold little inventory but pays payroll before collection. Deposits, monthly retainers and milestone billing can reduce the gap. If growth requires hiring before sales, modest equity or a longer founder loan can be safer than short bank debt with immediate amortization.</w:t>
      </w:r>
    </w:p>
    <w:p>
      <w:pPr>
        <w:spacing w:after="140"/>
      </w:pPr>
      <w:r>
        <w:rPr>
          <w:sz w:val="24"/>
          <w:szCs w:val="24"/>
        </w:rPr>
        <w:t xml:space="preserve">A production line</w:t>
      </w:r>
    </w:p>
    <w:p>
      <w:pPr>
        <w:spacing w:after="140"/>
      </w:pPr>
      <w:r>
        <w:rPr>
          <w:sz w:val="24"/>
          <w:szCs w:val="24"/>
        </w:rPr>
        <w:t xml:space="preserve">Land, building and machinery are long-life assets; raw materials are working capital. Do not force both into one short facility. Use longer funding for the asset and a separate line for stock. Tie machinery payments to inspection, installation and acceptance, with reserve for commissioning and spares.</w:t>
      </w:r>
    </w:p>
    <w:p>
      <w:pPr>
        <w:spacing w:after="140"/>
      </w:pPr>
      <w:r>
        <w:rPr>
          <w:sz w:val="24"/>
          <w:szCs w:val="24"/>
        </w:rPr>
        <w:t xml:space="preserve">Financial covenants without hidden traps</w:t>
      </w:r>
    </w:p>
    <w:p>
      <w:pPr>
        <w:spacing w:after="140"/>
      </w:pPr>
      <w:r>
        <w:rPr>
          <w:sz w:val="24"/>
          <w:szCs w:val="24"/>
        </w:rPr>
        <w:t xml:space="preserve">A lender or investor may require maximum leverage, minimum cash, distribution restrictions or monthly reporting. Do not accept a ratio the accounting system cannot measure. Define debt, treatment of shareholder loans, calculation of operating earnings and the cure period after a breach.</w:t>
      </w:r>
    </w:p>
    <w:p>
      <w:pPr>
        <w:spacing w:after="140"/>
      </w:pPr>
      <w:r>
        <w:rPr>
          <w:sz w:val="24"/>
          <w:szCs w:val="24"/>
        </w:rPr>
        <w:t xml:space="preserve">A good covenant is an early-warning mechanism, not a trap. Negotiate realistic headroom and a correction period so a minor technical breach does not automatically accelerate the entire debt. In return, disclose problems early; hiding them until payment day damages trust and negotiating power.</w:t>
      </w:r>
    </w:p>
    <w:p>
      <w:pPr>
        <w:spacing w:after="140"/>
      </w:pPr>
      <w:r>
        <w:rPr>
          <w:sz w:val="24"/>
          <w:szCs w:val="24"/>
        </w:rPr>
        <w:t xml:space="preserve">Closing checklist before money moves</w:t>
      </w:r>
    </w:p>
    <w:p>
      <w:pPr>
        <w:spacing w:after="140"/>
      </w:pPr>
      <w:r>
        <w:rPr>
          <w:sz w:val="24"/>
          <w:szCs w:val="24"/>
        </w:rPr>
        <w:t xml:space="preserve">Final signed agreement and schedules.</w:t>
      </w:r>
    </w:p>
    <w:p>
      <w:pPr>
        <w:spacing w:after="140"/>
      </w:pPr>
      <w:r>
        <w:rPr>
          <w:sz w:val="24"/>
          <w:szCs w:val="24"/>
        </w:rPr>
        <w:t xml:space="preserve">Proper company approvals.</w:t>
      </w:r>
    </w:p>
    <w:p>
      <w:pPr>
        <w:spacing w:after="140"/>
      </w:pPr>
      <w:r>
        <w:rPr>
          <w:sz w:val="24"/>
          <w:szCs w:val="24"/>
        </w:rPr>
        <w:t xml:space="preserve">Updated ownership and beneficial-owner records where required.</w:t>
      </w:r>
    </w:p>
    <w:p>
      <w:pPr>
        <w:spacing w:after="140"/>
      </w:pPr>
      <w:r>
        <w:rPr>
          <w:sz w:val="24"/>
          <w:szCs w:val="24"/>
        </w:rPr>
        <w:t xml:space="preserve">Bank account in the correct name and independently confirmed instructions.</w:t>
      </w:r>
    </w:p>
    <w:p>
      <w:pPr>
        <w:spacing w:after="140"/>
      </w:pPr>
      <w:r>
        <w:rPr>
          <w:sz w:val="24"/>
          <w:szCs w:val="24"/>
        </w:rPr>
        <w:t xml:space="preserve">Conditions precedent completed: licences, contracts, security and insurance.</w:t>
      </w:r>
    </w:p>
    <w:p>
      <w:pPr>
        <w:spacing w:after="140"/>
      </w:pPr>
      <w:r>
        <w:rPr>
          <w:sz w:val="24"/>
          <w:szCs w:val="24"/>
        </w:rPr>
        <w:t xml:space="preserve">Use-of-funds schedule and responsible owner for every tranche.</w:t>
      </w:r>
    </w:p>
    <w:p>
      <w:pPr>
        <w:spacing w:after="140"/>
      </w:pPr>
      <w:r>
        <w:rPr>
          <w:sz w:val="24"/>
          <w:szCs w:val="24"/>
        </w:rPr>
        <w:t xml:space="preserve">Date of the first report and monitoring meeting.</w:t>
      </w:r>
    </w:p>
    <w:p>
      <w:pPr>
        <w:spacing w:after="140"/>
      </w:pPr>
      <w:r>
        <w:rPr>
          <w:sz w:val="24"/>
          <w:szCs w:val="24"/>
        </w:rPr>
        <w:t xml:space="preserve">Process for unused money or an unachieved milestone.</w:t>
      </w:r>
    </w:p>
    <w:p>
      <w:pPr>
        <w:spacing w:after="140"/>
      </w:pPr>
      <w:r>
        <w:rPr>
          <w:sz w:val="24"/>
          <w:szCs w:val="24"/>
        </w:rPr>
        <w:t xml:space="preserve">Never transfer solely on the basis of bank instructions sent from a new email address. Confirm independently with a known person, especially when instructions change close to closing.</w:t>
      </w:r>
    </w:p>
    <w:p>
      <w:pPr>
        <w:spacing w:after="140"/>
      </w:pPr>
      <w:r>
        <w:rPr>
          <w:sz w:val="24"/>
          <w:szCs w:val="24"/>
        </w:rPr>
        <w:t xml:space="preserve">Investor presentation and negotiation</w:t>
      </w:r>
    </w:p>
    <w:p>
      <w:pPr>
        <w:spacing w:after="140"/>
      </w:pPr>
      <w:r>
        <w:rPr>
          <w:sz w:val="24"/>
          <w:szCs w:val="24"/>
        </w:rPr>
        <w:t xml:space="preserve">A useful pitch does not begin with a global market number and jump to valuation. Start with a specific problem, customer and evidence that the customer pays. Show unit economics, cash cycle, what has been achieved and what the new money will unlock. Every important number should trace to a schedule, contract or invoice in the data room.</w:t>
      </w:r>
    </w:p>
    <w:p>
      <w:pPr>
        <w:spacing w:after="140"/>
      </w:pPr>
      <w:r>
        <w:rPr>
          <w:sz w:val="24"/>
          <w:szCs w:val="24"/>
        </w:rPr>
        <w:t xml:space="preserve">Separate negotiation into price, control and protection. A founder may accept a lower valuation for lighter control terms, while an investor may accept less ownership in exchange for information and protective rights. Do not negotiate each clause in isolation; consider how the package affects the next round and management’s ability to operate.</w:t>
      </w:r>
    </w:p>
    <w:p>
      <w:pPr>
        <w:spacing w:after="140"/>
      </w:pPr>
      <w:r>
        <w:rPr>
          <w:sz w:val="24"/>
          <w:szCs w:val="24"/>
        </w:rPr>
        <w:t xml:space="preserve">Track versions and do not rely on “we agreed in principle.” After each meeting, send a short record of agreed points, open issues, responsible person and next-document deadline. This prevents each side from remembering a different transaction.</w:t>
      </w:r>
    </w:p>
    <w:p>
      <w:pPr>
        <w:spacing w:after="140"/>
      </w:pPr>
      <w:r>
        <w:rPr>
          <w:sz w:val="24"/>
          <w:szCs w:val="24"/>
        </w:rPr>
        <w:t xml:space="preserve">Funding red flags</w:t>
      </w:r>
    </w:p>
    <w:p>
      <w:pPr>
        <w:spacing w:after="140"/>
      </w:pPr>
      <w:r>
        <w:rPr>
          <w:sz w:val="24"/>
          <w:szCs w:val="24"/>
        </w:rPr>
        <w:t xml:space="preserve">High valuation without accounts or contracts.</w:t>
      </w:r>
    </w:p>
    <w:p>
      <w:pPr>
        <w:spacing w:after="140"/>
      </w:pPr>
      <w:r>
        <w:rPr>
          <w:sz w:val="24"/>
          <w:szCs w:val="24"/>
        </w:rPr>
        <w:t xml:space="preserve">Urgent transfer before verifying beneficiary and account.</w:t>
      </w:r>
    </w:p>
    <w:p>
      <w:pPr>
        <w:spacing w:after="140"/>
      </w:pPr>
      <w:r>
        <w:rPr>
          <w:sz w:val="24"/>
          <w:szCs w:val="24"/>
        </w:rPr>
        <w:t xml:space="preserve">Company money mixed with the founder’s personal accounts.</w:t>
      </w:r>
    </w:p>
    <w:p>
      <w:pPr>
        <w:spacing w:after="140"/>
      </w:pPr>
      <w:r>
        <w:rPr>
          <w:sz w:val="24"/>
          <w:szCs w:val="24"/>
        </w:rPr>
        <w:t xml:space="preserve">Large revenue with weak and unexplained collection.</w:t>
      </w:r>
    </w:p>
    <w:p>
      <w:pPr>
        <w:spacing w:after="140"/>
      </w:pPr>
      <w:r>
        <w:rPr>
          <w:sz w:val="24"/>
          <w:szCs w:val="24"/>
        </w:rPr>
        <w:t xml:space="preserve">One customer dominates sales without a durable contract.</w:t>
      </w:r>
    </w:p>
    <w:p>
      <w:pPr>
        <w:spacing w:after="140"/>
      </w:pPr>
      <w:r>
        <w:rPr>
          <w:sz w:val="24"/>
          <w:szCs w:val="24"/>
        </w:rPr>
        <w:t xml:space="preserve">Side liabilities missing from the financial statements.</w:t>
      </w:r>
    </w:p>
    <w:p>
      <w:pPr>
        <w:spacing w:after="140"/>
      </w:pPr>
      <w:r>
        <w:rPr>
          <w:sz w:val="24"/>
          <w:szCs w:val="24"/>
        </w:rPr>
        <w:t xml:space="preserve">Constant growth assumed without capacity, staff or channel.</w:t>
      </w:r>
    </w:p>
    <w:p>
      <w:pPr>
        <w:spacing w:after="140"/>
      </w:pPr>
      <w:r>
        <w:rPr>
          <w:sz w:val="24"/>
          <w:szCs w:val="24"/>
        </w:rPr>
        <w:t xml:space="preserve">Refusal to provide documents while also refusing independent review.</w:t>
      </w:r>
    </w:p>
    <w:p>
      <w:pPr>
        <w:spacing w:after="140"/>
      </w:pPr>
      <w:r>
        <w:rPr>
          <w:sz w:val="24"/>
          <w:szCs w:val="24"/>
        </w:rPr>
        <w:t xml:space="preserve">Debt in a different currency from revenue without risk management.</w:t>
      </w:r>
    </w:p>
    <w:p>
      <w:pPr>
        <w:spacing w:after="140"/>
      </w:pPr>
      <w:r>
        <w:rPr>
          <w:sz w:val="24"/>
          <w:szCs w:val="24"/>
        </w:rPr>
        <w:t xml:space="preserve">Terms that create disproportionate control or block future funding.</w:t>
      </w:r>
    </w:p>
    <w:p>
      <w:pPr>
        <w:spacing w:after="140"/>
      </w:pPr>
      <w:r>
        <w:rPr>
          <w:sz w:val="24"/>
          <w:szCs w:val="24"/>
        </w:rPr>
        <w:t xml:space="preserve">Reference sources</w:t>
      </w:r>
    </w:p>
    <w:p>
      <w:pPr>
        <w:spacing w:after="140"/>
      </w:pPr>
      <w:r>
        <w:rPr>
          <w:sz w:val="24"/>
          <w:szCs w:val="24"/>
        </w:rPr>
        <w:t xml:space="preserve">World Bank – current Syria overview</w:t>
      </w:r>
    </w:p>
    <w:p>
      <w:pPr>
        <w:spacing w:after="140"/>
      </w:pPr>
      <w:r>
        <w:rPr>
          <w:sz w:val="24"/>
          <w:szCs w:val="24"/>
        </w:rPr>
        <w:t xml:space="preserve">Syria Macro-Fiscal Assessment 2025 – World Bank</w:t>
      </w:r>
    </w:p>
    <w:p>
      <w:pPr>
        <w:spacing w:after="140"/>
      </w:pPr>
      <w:r>
        <w:rPr>
          <w:sz w:val="24"/>
          <w:szCs w:val="24"/>
        </w:rPr>
        <w:t xml:space="preserve">Syrian Investment Agency</w:t>
      </w:r>
    </w:p>
    <w:p>
      <w:pPr>
        <w:spacing w:after="140"/>
      </w:pPr>
      <w:r>
        <w:rPr>
          <w:sz w:val="24"/>
          <w:szCs w:val="24"/>
        </w:rPr>
        <w:t xml:space="preserve">UNCTAD Syria investment policy navigator</w:t>
      </w:r>
    </w:p>
    <w:p>
      <w:pPr>
        <w:spacing w:after="140"/>
      </w:pPr>
      <w:r>
        <w:rPr>
          <w:sz w:val="24"/>
          <w:szCs w:val="24"/>
        </w:rPr>
        <w:t xml:space="preserve">UNCTAD Syria investment agreements</w:t>
      </w:r>
    </w:p>
    <w:p>
      <w:pPr>
        <w:spacing w:after="140"/>
      </w:pPr>
      <w:r>
        <w:rPr>
          <w:sz w:val="24"/>
          <w:szCs w:val="24"/>
        </w:rPr>
        <w:t xml:space="preserve">IFC corporate governance resources</w:t>
      </w:r>
    </w:p>
    <w:p>
      <w:pPr>
        <w:spacing w:after="140"/>
      </w:pPr>
      <w:r>
        <w:rPr>
          <w:sz w:val="24"/>
          <w:szCs w:val="24"/>
        </w:rPr>
        <w:t xml:space="preserve">OECD responsible business due diligence</w:t>
      </w:r>
    </w:p>
    <w:p>
      <w:pPr>
        <w:spacing w:after="140"/>
      </w:pPr>
      <w:r>
        <w:rPr>
          <w:sz w:val="24"/>
          <w:szCs w:val="24"/>
        </w:rPr>
        <w:t xml:space="preserve">FATF beneficial ownership guidance</w:t>
      </w:r>
    </w:p>
    <w:p>
      <w:pPr>
        <w:spacing w:after="140"/>
      </w:pPr>
      <w:r>
        <w:rPr>
          <w:sz w:val="24"/>
          <w:szCs w:val="24"/>
        </w:rPr>
        <w:t xml:space="preserve">Frequently asked questions</w:t>
      </w:r>
    </w:p>
    <w:p>
      <w:pPr>
        <w:spacing w:after="140"/>
      </w:pPr>
      <w:r>
        <w:rPr>
          <w:sz w:val="24"/>
          <w:szCs w:val="24"/>
        </w:rPr>
        <w:t xml:space="preserve">The answers are educational. Use qualified legal, accounting and banking advice before moving funds, issuing equity or arranging debt.</w:t>
      </w:r>
    </w:p>
    <w:p>
      <w:pPr>
        <w:spacing w:after="140"/>
      </w:pPr>
      <w:r>
        <w:rPr>
          <w:sz w:val="24"/>
          <w:szCs w:val="24"/>
        </w:rPr>
        <w:t xml:space="preserve">Conclusion</w:t>
      </w:r>
    </w:p>
    <w:p>
      <w:pPr>
        <w:spacing w:after="140"/>
      </w:pPr>
      <w:r>
        <w:rPr>
          <w:sz w:val="24"/>
          <w:szCs w:val="24"/>
        </w:rPr>
        <w:t xml:space="preserve">Good financing is not the largest cheque available. It is money that arrives at the right time, matches the asset and cash cycle, and carries conditions the team can perform. Start with the cash gap, match term to use, normalize the numbers, stress-test the plan, write the term sheet and prepare due diligence. A strong deal does not hide risk; it names, allocates and prices it.</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Financing a Business Project in Syria in 2026: Equity, Debt and Deal Control</dc:title>
  <dc:creator>Bsouria Editorial</dc:creator>
  <cp:lastModifiedBy>Bsouria</cp:lastModifiedBy>
  <dcterms:created xsi:type="dcterms:W3CDTF">2026-09-15T14:48:04Z</dcterms:created>
</cp:coreProperties>
</file>