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Building an Import–Export Business with Syria in 2026: From Product Selection to a Profitable First Shipment</w:t>
      </w:r>
    </w:p>
    <w:p>
      <w:pPr/>
      <w:r>
        <w:rPr>
          <w:i/>
          <w:color w:val="64736B"/>
        </w:rPr>
        <w:t>Bsouria · 2026-07-29</w:t>
      </w:r>
    </w:p>
    <w:p>
      <w:pPr>
        <w:spacing w:after="220"/>
      </w:pPr>
      <w:r>
        <w:rPr>
          <w:i/>
        </w:rPr>
        <w:t>A strategic and practical guide to building a Syria-related import-export business: product and market selection, deal economics, compliance, finance, quality, pilot shipments and scaling.</w:t>
      </w:r>
    </w:p>
    <w:p>
      <w:pPr>
        <w:spacing w:after="140"/>
      </w:pPr>
      <w:r>
        <w:rPr>
          <w:sz w:val="24"/>
          <w:szCs w:val="24"/>
        </w:rPr>
        <w:t xml:space="preserve">There is a major difference between completing one import or export shipment and building an international trading company that can work with Syria for years. A single shipment may succeed because of a temporary price, a personal connection, or good timing. A durable business requires a product with measurable demand, a reachable market, verified counterparties, margins that can absorb delay and volatility, and repeatable systems for compliance, quality, payment, logistics, sales, and collection. This guide is not another customs-document checklist. It answers the harder question: how do you turn occasional trade with Syria into a disciplined, profitable, and scalable business?</w:t>
      </w:r>
    </w:p>
    <w:p>
      <w:pPr>
        <w:spacing w:after="140"/>
      </w:pPr>
      <w:r>
        <w:rPr>
          <w:sz w:val="24"/>
          <w:szCs w:val="24"/>
        </w:rPr>
        <w:t xml:space="preserve">Professional notice: This is a general planning framework, not legal, tax, banking, sanctions, or customs advice. Rules, tariffs, restricted-party lists, bank policies, and carrier acceptance can change. Obtain written confirmation from competent authorities, banks, customs brokers, carriers, insurers, and qualified advisers before paying, signing, or loading cargo.</w:t>
      </w:r>
    </w:p>
    <w:p>
      <w:pPr>
        <w:spacing w:after="140"/>
      </w:pPr>
      <w:r>
        <w:rPr>
          <w:sz w:val="24"/>
          <w:szCs w:val="24"/>
        </w:rPr>
        <w:t xml:space="preserve">Why this is different from the existing procedures guide</w:t>
      </w:r>
    </w:p>
    <w:p>
      <w:pPr>
        <w:spacing w:after="140"/>
      </w:pPr>
      <w:r>
        <w:rPr>
          <w:sz w:val="24"/>
          <w:szCs w:val="24"/>
        </w:rPr>
        <w:t xml:space="preserve">A procedures guide explains HS classification, invoices, packing lists, certificates of origin, and clearance. Those matters are essential, but they do not explain why many documented shipments still lose money. The product may be wrong for the market, the quantity may exceed the sales channel, the landed price may be uncompetitive, the buyer may demand credit that consumes all working capital, or the supplier may fail to repeat the approved quality. This guide therefore starts before documentation: business-model design, customer discovery, product-market fit, transaction economics, financing, pilot execution, and disciplined scaling.</w:t>
      </w:r>
    </w:p>
    <w:p>
      <w:pPr>
        <w:spacing w:after="140"/>
      </w:pPr>
      <w:r>
        <w:rPr>
          <w:sz w:val="24"/>
          <w:szCs w:val="24"/>
        </w:rPr>
        <w:t xml:space="preserve">For formal operational steps, also read Bsouria’s Importing and Exporting to and from Syria in 2026. Here, trade is treated as an entire business with customers, value, cash flow, risk, and stop-or-scale decisions.</w:t>
      </w:r>
    </w:p>
    <w:p>
      <w:pPr>
        <w:spacing w:after="140"/>
      </w:pPr>
      <w:r>
        <w:rPr>
          <w:sz w:val="24"/>
          <w:szCs w:val="24"/>
        </w:rPr>
        <w:t xml:space="preserve">The realistic trade environment in 2026</w:t>
      </w:r>
    </w:p>
    <w:p>
      <w:pPr>
        <w:spacing w:after="140"/>
      </w:pPr>
      <w:r>
        <w:rPr>
          <w:sz w:val="24"/>
          <w:szCs w:val="24"/>
        </w:rPr>
        <w:t xml:space="preserve">Syria’s external connectivity is improving gradually, but conditions remain transitional and uneven. The World Bank notes that official data remain limited while high-frequency indicators show improved external connectivity, including air and port traffic. At the same time, finance, energy, regional instability, and institutional change still affect execution. A serious trader should therefore avoid both extreme stories: “everything is open” and “nothing is possible.” The answer depends on the specific product, counterparties, bank, route, and end use.</w:t>
      </w:r>
    </w:p>
    <w:p>
      <w:pPr>
        <w:spacing w:after="140"/>
      </w:pPr>
      <w:r>
        <w:rPr>
          <w:sz w:val="24"/>
          <w:szCs w:val="24"/>
        </w:rPr>
        <w:t xml:space="preserve">The 2026 Syrian Private Sector Dialogue identified logistics deficits, fragmented value chains, customs and border constraints, trade-finance gaps, and weak market access as cross-cutting barriers. It also highlighted structured B2B opportunities, export promotion, sourcing, subcontracting, franchising, and joint ventures. This is important: opportunity is not limited to buying and reselling goods. It includes packaging, testing, cold chain, contract manufacturing, maintenance, distribution, and market-access services.</w:t>
      </w:r>
    </w:p>
    <w:p>
      <w:pPr>
        <w:spacing w:after="140"/>
      </w:pPr>
      <w:r>
        <w:rPr>
          <w:sz w:val="24"/>
          <w:szCs w:val="24"/>
        </w:rPr>
        <w:t xml:space="preserve">Sanctions architecture changed substantially in 2025. The United States terminated the comprehensive Syria sanctions program while retaining targeted measures, and the European Union lifted broad economic sanctions while maintaining security-based and targeted restrictions. However, banks, insurers, carriers, marketplaces, and technology providers may apply their own risk policies. Treat compliance as four separate tests: applicable law in your country, law in the counterparty’s country, bank acceptance, and service-provider acceptance.</w:t>
      </w:r>
    </w:p>
    <w:p>
      <w:pPr>
        <w:spacing w:after="140"/>
      </w:pPr>
      <w:r>
        <w:rPr>
          <w:sz w:val="24"/>
          <w:szCs w:val="24"/>
        </w:rPr>
        <w:t xml:space="preserve">Choose the trading model before choosing the product</w:t>
      </w:r>
    </w:p>
    <w:p>
      <w:pPr>
        <w:spacing w:after="140"/>
      </w:pPr>
      <w:r>
        <w:rPr>
          <w:sz w:val="24"/>
          <w:szCs w:val="24"/>
        </w:rPr>
        <w:t xml:space="preserve">ModelHow it earnsMain risk</w:t>
      </w:r>
    </w:p>
    <w:p>
      <w:pPr>
        <w:spacing w:after="140"/>
      </w:pPr>
      <w:r>
        <w:rPr>
          <w:sz w:val="24"/>
          <w:szCs w:val="24"/>
        </w:rPr>
        <w:t xml:space="preserve">Import and local distributionMargin through wholesale or B2B salesInventory, collection, price changes</w:t>
      </w:r>
    </w:p>
    <w:p>
      <w:pPr>
        <w:spacing w:after="140"/>
      </w:pPr>
      <w:r>
        <w:rPr>
          <w:sz w:val="24"/>
          <w:szCs w:val="24"/>
        </w:rPr>
        <w:t xml:space="preserve">Direct exportSell Syrian products to a foreign buyerStandards, consistency, payment</w:t>
      </w:r>
    </w:p>
    <w:p>
      <w:pPr>
        <w:spacing w:after="140"/>
      </w:pPr>
      <w:r>
        <w:rPr>
          <w:sz w:val="24"/>
          <w:szCs w:val="24"/>
        </w:rPr>
        <w:t xml:space="preserve">Agency or exclusive distributionCommission or territory marginUnrealistic targets and restrictive exclusivity</w:t>
      </w:r>
    </w:p>
    <w:p>
      <w:pPr>
        <w:spacing w:after="140"/>
      </w:pPr>
      <w:r>
        <w:rPr>
          <w:sz w:val="24"/>
          <w:szCs w:val="24"/>
        </w:rPr>
        <w:t xml:space="preserve">Structured brokerageCommission without owning cargoBeing bypassed and unclear liability</w:t>
      </w:r>
    </w:p>
    <w:p>
      <w:pPr>
        <w:spacing w:after="140"/>
      </w:pPr>
      <w:r>
        <w:rPr>
          <w:sz w:val="24"/>
          <w:szCs w:val="24"/>
        </w:rPr>
        <w:t xml:space="preserve">Aggregation and exportCombine small producers and standardize outputTraceability and variable quality</w:t>
      </w:r>
    </w:p>
    <w:p>
      <w:pPr>
        <w:spacing w:after="140"/>
      </w:pPr>
      <w:r>
        <w:rPr>
          <w:sz w:val="24"/>
          <w:szCs w:val="24"/>
        </w:rPr>
        <w:t xml:space="preserve">Contract manufacturingProduce in Syria for a buyer’s brandQuality, IP, and capacity</w:t>
      </w:r>
    </w:p>
    <w:p>
      <w:pPr>
        <w:spacing w:after="140"/>
      </w:pPr>
      <w:r>
        <w:rPr>
          <w:sz w:val="24"/>
          <w:szCs w:val="24"/>
        </w:rPr>
        <w:t xml:space="preserve">Industrial input supplyRepeat supply to factoriesCredit and working-capital cycle</w:t>
      </w:r>
    </w:p>
    <w:p>
      <w:pPr>
        <w:spacing w:after="140"/>
      </w:pPr>
      <w:r>
        <w:rPr>
          <w:sz w:val="24"/>
          <w:szCs w:val="24"/>
        </w:rPr>
        <w:t xml:space="preserve">Early-stage traders usually benefit from asset-light testing: samples, small orders, limited-term distribution, and staged commitments. A warehouse, a full container, or long exclusivity before customer validation makes learning unnecessarily expensive.</w:t>
      </w:r>
    </w:p>
    <w:p>
      <w:pPr>
        <w:spacing w:after="140"/>
      </w:pPr>
      <w:r>
        <w:rPr>
          <w:sz w:val="24"/>
          <w:szCs w:val="24"/>
        </w:rPr>
        <w:t xml:space="preserve">Write a one-page trade thesis</w:t>
      </w:r>
    </w:p>
    <w:p>
      <w:pPr>
        <w:spacing w:after="140"/>
      </w:pPr>
      <w:r>
        <w:rPr>
          <w:sz w:val="24"/>
          <w:szCs w:val="24"/>
        </w:rPr>
        <w:t xml:space="preserve">Define what you will sell, to whom, in which market, why the buyer will choose you, and what can destroy the deal. Include the exact customer, the pain point, your solution, landed margin, your advantage, and a stop condition. “Syria needs everything” is not a thesis. A useful thesis sounds like: “Mid-sized food factories in Aleppo and Rural Damascus need flexible, transport-resistant packaging. We will source a specific input, finish printing locally, and secure three pilot customers before holding three months of stock.”</w:t>
      </w:r>
    </w:p>
    <w:p>
      <w:pPr>
        <w:spacing w:after="140"/>
      </w:pPr>
      <w:r>
        <w:rPr>
          <w:sz w:val="24"/>
          <w:szCs w:val="24"/>
        </w:rPr>
        <w:t xml:space="preserve">Selecting a product to import into Syria</w:t>
      </w:r>
    </w:p>
    <w:p>
      <w:pPr>
        <w:spacing w:after="140"/>
      </w:pPr>
      <w:r>
        <w:rPr>
          <w:sz w:val="24"/>
          <w:szCs w:val="24"/>
        </w:rPr>
        <w:t xml:space="preserve">Score each candidate on demand necessity, repeat frequency, storage difficulty, value-to-weight ratio, regulatory burden, after-sales requirements, and competitive alternatives. Products that prevent downtime, reduce cost, or improve productivity often have clearer B2B value than generic discretionary goods, but every item must be validated. Opportunities may appear in spare parts, packaging inputs, energy-efficiency equipment, certain production materials, laboratories, cold-chain tools, and specialized operating supplies. Do not treat these examples as automatic recommendations.</w:t>
      </w:r>
    </w:p>
    <w:p>
      <w:pPr>
        <w:spacing w:after="140"/>
      </w:pPr>
      <w:r>
        <w:rPr>
          <w:sz w:val="24"/>
          <w:szCs w:val="24"/>
        </w:rPr>
        <w:t xml:space="preserve">Selecting a Syrian product for export</w:t>
      </w:r>
    </w:p>
    <w:p>
      <w:pPr>
        <w:spacing w:after="140"/>
      </w:pPr>
      <w:r>
        <w:rPr>
          <w:sz w:val="24"/>
          <w:szCs w:val="24"/>
        </w:rPr>
        <w:t xml:space="preserve">A locally successful product is not automatically export-ready. Foreign buyers purchase a repeatable system: consistent specification, on-time quantity, traceability, packaging, certification, communication, and complaint resolution. Evaluate local-material or skills advantages, batch consistency, long-distance packaging, labels and shelf life, origin documentation, capacity expansion, and fully delivered competitiveness.</w:t>
      </w:r>
    </w:p>
    <w:p>
      <w:pPr>
        <w:spacing w:after="140"/>
      </w:pPr>
      <w:r>
        <w:rPr>
          <w:sz w:val="24"/>
          <w:szCs w:val="24"/>
        </w:rPr>
        <w:t xml:space="preserve">UNDP’s value-chain analysis for Syria emphasizes sectors combining local raw materials, existing skills, domestic demand, and export potential. Possible areas include processed foods, herbs and spices, olive products, nuts, textiles and garments, crafts, and light manufactured products—but the actual unit, plant, and destination market must be tested.</w:t>
      </w:r>
    </w:p>
    <w:p>
      <w:pPr>
        <w:spacing w:after="140"/>
      </w:pPr>
      <w:r>
        <w:rPr>
          <w:sz w:val="24"/>
          <w:szCs w:val="24"/>
        </w:rPr>
        <w:t xml:space="preserve">Find the first buyer, not the “best country”</w:t>
      </w:r>
    </w:p>
    <w:p>
      <w:pPr>
        <w:spacing w:after="140"/>
      </w:pPr>
      <w:r>
        <w:rPr>
          <w:sz w:val="24"/>
          <w:szCs w:val="24"/>
        </w:rPr>
        <w:t xml:space="preserve">Start with a buyer type: a Gulf specialty-food distributor, a European ethnic retailer, an Iraqi or Jordanian wholesaler, a manufacturer seeking semi-finished inputs, or a diaspora-owned private-label business. Then investigate duties, standards, competitors, order sizes, and payment terms. Use UN Comtrade, the International Trade Centre tools, and WITS to form hypotheses, while recognizing that Syrian data may be delayed or incomplete.</w:t>
      </w:r>
    </w:p>
    <w:p>
      <w:pPr>
        <w:spacing w:after="140"/>
      </w:pPr>
      <w:r>
        <w:rPr>
          <w:sz w:val="24"/>
          <w:szCs w:val="24"/>
        </w:rPr>
        <w:t xml:space="preserve">Conduct twenty customer conversations before a major order. Ask what they buy now, current source, exact specification, rejection reasons, order size, payment period, required certificates, and true warehouse-delivered price. Compliments without a sample request, target price, specification, or purchasing process are not demand.</w:t>
      </w:r>
    </w:p>
    <w:p>
      <w:pPr>
        <w:spacing w:after="140"/>
      </w:pPr>
      <w:r>
        <w:rPr>
          <w:sz w:val="24"/>
          <w:szCs w:val="24"/>
        </w:rPr>
        <w:t xml:space="preserve">Map real competition</w:t>
      </w:r>
    </w:p>
    <w:p>
      <w:pPr>
        <w:spacing w:after="140"/>
      </w:pPr>
      <w:r>
        <w:rPr>
          <w:sz w:val="24"/>
          <w:szCs w:val="24"/>
        </w:rPr>
        <w:t xml:space="preserve">Your competitor may be a locally available lower-grade product, repaired equipment, used goods, a supplier offering credit, or an indirect route through a neighboring market. Compare landed price, minimum order, delivery, quality, certification, payment, stock availability, warranty, and problem resolution. A higher price can win when it prevents factory downtime; a low price can lose when replacement parts are unavailable.</w:t>
      </w:r>
    </w:p>
    <w:p>
      <w:pPr>
        <w:spacing w:after="140"/>
      </w:pPr>
      <w:r>
        <w:rPr>
          <w:sz w:val="24"/>
          <w:szCs w:val="24"/>
        </w:rPr>
        <w:t xml:space="preserve">Build unit economics before negotiating</w:t>
      </w:r>
    </w:p>
    <w:p>
      <w:pPr>
        <w:spacing w:after="140"/>
      </w:pPr>
      <w:r>
        <w:rPr>
          <w:sz w:val="24"/>
          <w:szCs w:val="24"/>
        </w:rPr>
        <w:t xml:space="preserve">Calculate goods, origin transport, inspection, export documents, freight, insurance, transit, clearance, duties and taxes, banking cost, FX exposure, warehouse, local distribution, sales commission, warranty, returns, damage, and bad debt. Model optimistic, base, and stressed cases. If a small delay or freight change eliminates profit, the deal is fragile.</w:t>
      </w:r>
    </w:p>
    <w:p>
      <w:pPr>
        <w:spacing w:after="140"/>
      </w:pPr>
      <w:r>
        <w:rPr>
          <w:sz w:val="24"/>
          <w:szCs w:val="24"/>
        </w:rPr>
        <w:t xml:space="preserve">Working capital matters more than accounting profit</w:t>
      </w:r>
    </w:p>
    <w:p>
      <w:pPr>
        <w:spacing w:after="140"/>
      </w:pPr>
      <w:r>
        <w:rPr>
          <w:sz w:val="24"/>
          <w:szCs w:val="24"/>
        </w:rPr>
        <w:t xml:space="preserve">You may pay a deposit, settle the balance before shipment, wait for transport and clearance, then grant customers 30–60 days. Cash is trapped throughout. Measure the full cash-conversion cycle and maintain reserves for the next order and unexpected costs. Rapid credit sales can bankrupt a profitable-looking company.</w:t>
      </w:r>
    </w:p>
    <w:p>
      <w:pPr>
        <w:spacing w:after="140"/>
      </w:pPr>
      <w:r>
        <w:rPr>
          <w:sz w:val="24"/>
          <w:szCs w:val="24"/>
        </w:rPr>
        <w:t xml:space="preserve">Verify suppliers, buyers, and partners</w:t>
      </w:r>
    </w:p>
    <w:p>
      <w:pPr>
        <w:spacing w:after="140"/>
      </w:pPr>
      <w:r>
        <w:rPr>
          <w:sz w:val="24"/>
          <w:szCs w:val="24"/>
        </w:rPr>
        <w:t xml:space="preserve">Match legal name, authorized signatory, address, and bank account.</w:t>
      </w:r>
    </w:p>
    <w:p>
      <w:pPr>
        <w:spacing w:after="140"/>
      </w:pPr>
      <w:r>
        <w:rPr>
          <w:sz w:val="24"/>
          <w:szCs w:val="24"/>
        </w:rPr>
        <w:t xml:space="preserve">Request registration, licences, tax information, and certificates.</w:t>
      </w:r>
    </w:p>
    <w:p>
      <w:pPr>
        <w:spacing w:after="140"/>
      </w:pPr>
      <w:r>
        <w:rPr>
          <w:sz w:val="24"/>
          <w:szCs w:val="24"/>
        </w:rPr>
        <w:t xml:space="preserve">Identify beneficial owners and screen restricted parties.</w:t>
      </w:r>
    </w:p>
    <w:p>
      <w:pPr>
        <w:spacing w:after="140"/>
      </w:pPr>
      <w:r>
        <w:rPr>
          <w:sz w:val="24"/>
          <w:szCs w:val="24"/>
        </w:rPr>
        <w:t xml:space="preserve">Speak with customers, suppliers, and references.</w:t>
      </w:r>
    </w:p>
    <w:p>
      <w:pPr>
        <w:spacing w:after="140"/>
      </w:pPr>
      <w:r>
        <w:rPr>
          <w:sz w:val="24"/>
          <w:szCs w:val="24"/>
        </w:rPr>
        <w:t xml:space="preserve">Visit or video-inspect the factory and warehouse.</w:t>
      </w:r>
    </w:p>
    <w:p>
      <w:pPr>
        <w:spacing w:after="140"/>
      </w:pPr>
      <w:r>
        <w:rPr>
          <w:sz w:val="24"/>
          <w:szCs w:val="24"/>
        </w:rPr>
        <w:t xml:space="preserve">Take a production-line sample, not only a trade-show sample.</w:t>
      </w:r>
    </w:p>
    <w:p>
      <w:pPr>
        <w:spacing w:after="140"/>
      </w:pPr>
      <w:r>
        <w:rPr>
          <w:sz w:val="24"/>
          <w:szCs w:val="24"/>
        </w:rPr>
        <w:t xml:space="preserve">Check monthly capacity, maintenance, utilities, and disruption plans.</w:t>
      </w:r>
    </w:p>
    <w:p>
      <w:pPr>
        <w:spacing w:after="140"/>
      </w:pPr>
      <w:r>
        <w:rPr>
          <w:sz w:val="24"/>
          <w:szCs w:val="24"/>
        </w:rPr>
        <w:t xml:space="preserve">Use the Bsouria Business Directory as a discovery tool, then perform independent verification using the business-information verification guide.</w:t>
      </w:r>
    </w:p>
    <w:p>
      <w:pPr>
        <w:spacing w:after="140"/>
      </w:pPr>
      <w:r>
        <w:rPr>
          <w:sz w:val="24"/>
          <w:szCs w:val="24"/>
        </w:rPr>
        <w:t xml:space="preserve">Compliance, sanctions, and export controls</w:t>
      </w:r>
    </w:p>
    <w:p>
      <w:pPr>
        <w:spacing w:after="140"/>
      </w:pPr>
      <w:r>
        <w:rPr>
          <w:sz w:val="24"/>
          <w:szCs w:val="24"/>
        </w:rPr>
        <w:t xml:space="preserve">Build a transaction file covering counterparties, beneficial ownership, HS code, origin, end use, end user, bank, carrier, insurer, and route. Review current information from the U.S. Treasury, the EU Council, and relevant national guidance such as the UK Syria sanctions guidance. Never route through a third party to conceal the true transaction.</w:t>
      </w:r>
    </w:p>
    <w:p>
      <w:pPr>
        <w:spacing w:after="140"/>
      </w:pPr>
      <w:r>
        <w:rPr>
          <w:sz w:val="24"/>
          <w:szCs w:val="24"/>
        </w:rPr>
        <w:t xml:space="preserve">HS classification and origin</w:t>
      </w:r>
    </w:p>
    <w:p>
      <w:pPr>
        <w:spacing w:after="140"/>
      </w:pPr>
      <w:r>
        <w:rPr>
          <w:sz w:val="24"/>
          <w:szCs w:val="24"/>
        </w:rPr>
        <w:t xml:space="preserve">The WCO Harmonized System is the international language of goods classification. Classification affects duties, restrictions, statistics, and approvals. Origin is not the shipping location. Determine whether imported inputs and local processing satisfy the destination’s origin rule, and retain production and material records.</w:t>
      </w:r>
    </w:p>
    <w:p>
      <w:pPr>
        <w:spacing w:after="140"/>
      </w:pPr>
      <w:r>
        <w:rPr>
          <w:sz w:val="24"/>
          <w:szCs w:val="24"/>
        </w:rPr>
        <w:t xml:space="preserve">Quality and standards</w:t>
      </w:r>
    </w:p>
    <w:p>
      <w:pPr>
        <w:spacing w:after="140"/>
      </w:pPr>
      <w:r>
        <w:rPr>
          <w:sz w:val="24"/>
          <w:szCs w:val="24"/>
        </w:rPr>
        <w:t xml:space="preserve">Create an export product file: approved specification, sealed reference sample, inspection plan, tolerances, packaging images, technical data, certificates, and batch records. Begin with destination requirements before production. Food, medical items, machinery, textiles, electrical goods, and packaging may each involve different testing, labeling, safety, or phytosanitary controls.</w:t>
      </w:r>
    </w:p>
    <w:p>
      <w:pPr>
        <w:spacing w:after="140"/>
      </w:pPr>
      <w:r>
        <w:rPr>
          <w:sz w:val="24"/>
          <w:szCs w:val="24"/>
        </w:rPr>
        <w:t xml:space="preserve">Write the contract for the bad day</w:t>
      </w:r>
    </w:p>
    <w:p>
      <w:pPr>
        <w:spacing w:after="140"/>
      </w:pPr>
      <w:r>
        <w:rPr>
          <w:sz w:val="24"/>
          <w:szCs w:val="24"/>
        </w:rPr>
        <w:t xml:space="preserve">Define entities, specification, sample, quantity tolerance, price, currency, duties, commissions, delivery, delay, inspection, rejection, replacement, payment documents, warranty, IP, compliance, governing law, dispute resolution, and the controlling language. Use a named place with the applicable Incoterms® 2020 rule. Incoterms allocate delivery, risk, and certain costs; they do not replace the sales contract.</w:t>
      </w:r>
    </w:p>
    <w:p>
      <w:pPr>
        <w:spacing w:after="140"/>
      </w:pPr>
      <w:r>
        <w:rPr>
          <w:sz w:val="24"/>
          <w:szCs w:val="24"/>
        </w:rPr>
        <w:t xml:space="preserve">Payments and trade finance</w:t>
      </w:r>
    </w:p>
    <w:p>
      <w:pPr>
        <w:spacing w:after="140"/>
      </w:pPr>
      <w:r>
        <w:rPr>
          <w:sz w:val="24"/>
          <w:szCs w:val="24"/>
        </w:rPr>
        <w:t xml:space="preserve">Choose advance payment, open account, documentary collection, documentary credit, guarantees, or credit insurance according to trust, value, and bank capability. Pre-clear the banking route, currencies, correspondent banks, source of funds, commercial purpose, and documents. Read the Banking and Payments in Syria guide. Legal permission does not guarantee bank execution.</w:t>
      </w:r>
    </w:p>
    <w:p>
      <w:pPr>
        <w:spacing w:after="140"/>
      </w:pPr>
      <w:r>
        <w:rPr>
          <w:sz w:val="24"/>
          <w:szCs w:val="24"/>
        </w:rPr>
        <w:t xml:space="preserve">Route and carrier design</w:t>
      </w:r>
    </w:p>
    <w:p>
      <w:pPr>
        <w:spacing w:after="140"/>
      </w:pPr>
      <w:r>
        <w:rPr>
          <w:sz w:val="24"/>
          <w:szCs w:val="24"/>
        </w:rPr>
        <w:t xml:space="preserve">Compare realistic transit time, transfers, border risk, tracking, liability, storage, equipment availability, and total charges—not only the cheapest freight quote. Plan temperature, humidity, vibration, dangerous-goods rules, seals, and insurance where relevant. Build a lawful alternative route before disruption occurs.</w:t>
      </w:r>
    </w:p>
    <w:p>
      <w:pPr>
        <w:spacing w:after="140"/>
      </w:pPr>
      <w:r>
        <w:rPr>
          <w:sz w:val="24"/>
          <w:szCs w:val="24"/>
        </w:rPr>
        <w:t xml:space="preserve">Design a pilot shipment</w:t>
      </w:r>
    </w:p>
    <w:p>
      <w:pPr>
        <w:spacing w:after="140"/>
      </w:pPr>
      <w:r>
        <w:rPr>
          <w:sz w:val="24"/>
          <w:szCs w:val="24"/>
        </w:rPr>
        <w:t xml:space="preserve">The first shipment should test the entire operating system. Measure stage time, planned versus actual cost, defect and loss rates, clearance time, inventory sell-through, repeat orders, real margin, and complaint handling. Do not scale merely because cargo arrived. Scale when sales, collection, and repeated quality are demonstrated.</w:t>
      </w:r>
    </w:p>
    <w:p>
      <w:pPr>
        <w:spacing w:after="140"/>
      </w:pPr>
      <w:r>
        <w:rPr>
          <w:sz w:val="24"/>
          <w:szCs w:val="24"/>
        </w:rPr>
        <w:t xml:space="preserve">Build sales before stock</w:t>
      </w:r>
    </w:p>
    <w:p>
      <w:pPr>
        <w:spacing w:after="140"/>
      </w:pPr>
      <w:r>
        <w:rPr>
          <w:sz w:val="24"/>
          <w:szCs w:val="24"/>
        </w:rPr>
        <w:t xml:space="preserve">Seek letters of interest, pilot orders, or distributor discussions before a large import. For export, prepare a concise company profile, reference sample, specification, and tiered quotations. Use Bsouria’s opportunities section and directory. Never grant open-ended exclusivity; tie territory and duration to purchase targets, reporting, and termination rights.</w:t>
      </w:r>
    </w:p>
    <w:p>
      <w:pPr>
        <w:spacing w:after="140"/>
      </w:pPr>
      <w:r>
        <w:rPr>
          <w:sz w:val="24"/>
          <w:szCs w:val="24"/>
        </w:rPr>
        <w:t xml:space="preserve">Pricing in volatility</w:t>
      </w:r>
    </w:p>
    <w:p>
      <w:pPr>
        <w:spacing w:after="140"/>
      </w:pPr>
      <w:r>
        <w:rPr>
          <w:sz w:val="24"/>
          <w:szCs w:val="24"/>
        </w:rPr>
        <w:t xml:space="preserve">Use clear quote-validity periods, defined currency and exchange-rate mechanisms, and adjustment clauses for delays or freight movements. Distinguish gross margin from margin after distribution, financing, overhead, warranty, and returns. A 35% gross-margin product can be worse than an 18% product if stock moves slowly and service costs are high.</w:t>
      </w:r>
    </w:p>
    <w:p>
      <w:pPr>
        <w:spacing w:after="140"/>
      </w:pPr>
      <w:r>
        <w:rPr>
          <w:sz w:val="24"/>
          <w:szCs w:val="24"/>
        </w:rPr>
        <w:t xml:space="preserve">Maintain a one-page risk register</w:t>
      </w:r>
    </w:p>
    <w:p>
      <w:pPr>
        <w:spacing w:after="140"/>
      </w:pPr>
      <w:r>
        <w:rPr>
          <w:sz w:val="24"/>
          <w:szCs w:val="24"/>
        </w:rPr>
        <w:t xml:space="preserve">RiskEarly signalControlBank rejectionUnclear intermediary or repeated document requestsPre-clearance and lawful alternativeRule or tariff changeOfficial draft or licence pauseSmaller lots and contract clauseShipping delayBooking changes or congestionBuffer, alternative route, safety stockQuality variationSupplier refuses production samplesReference sample, inspection, staged paymentNon-paymentIncreasing credit requestsCredit limit, deposit, securityCurrency movementFast gap between quote and settlementValidity period and adjustment rule</w:t>
      </w:r>
    </w:p>
    <w:p>
      <w:pPr>
        <w:spacing w:after="140"/>
      </w:pPr>
      <w:r>
        <w:rPr>
          <w:sz w:val="24"/>
          <w:szCs w:val="24"/>
        </w:rPr>
        <w:t xml:space="preserve">Opportunity themes—not ready-made recommendations</w:t>
      </w:r>
    </w:p>
    <w:p>
      <w:pPr>
        <w:spacing w:after="140"/>
      </w:pPr>
      <w:r>
        <w:rPr>
          <w:sz w:val="24"/>
          <w:szCs w:val="24"/>
        </w:rPr>
        <w:t xml:space="preserve">Syrian exports may find opportunity where local materials or skills can be upgraded through sorting, processing, packaging, certification, and dependable delivery. Imports may be stronger when they support productive capacity: spare parts, production inputs, packaging, energy efficiency, cold chain, testing, and specialist equipment. Diaspora companies can add buyer networks, standards, management, and finance while Syrian partners add production and operating knowledge. Structure the relationship with contracts, reporting, and governance.</w:t>
      </w:r>
    </w:p>
    <w:p>
      <w:pPr>
        <w:spacing w:after="140"/>
      </w:pPr>
      <w:r>
        <w:rPr>
          <w:sz w:val="24"/>
          <w:szCs w:val="24"/>
        </w:rPr>
        <w:t xml:space="preserve">When to scale</w:t>
      </w:r>
    </w:p>
    <w:p>
      <w:pPr>
        <w:spacing w:after="140"/>
      </w:pPr>
      <w:r>
        <w:rPr>
          <w:sz w:val="24"/>
          <w:szCs w:val="24"/>
        </w:rPr>
        <w:t xml:space="preserve">Scale after at least three repeat cycles with acceptable quality, delivery within range, real reorder or sell-through, and on-time collection. Expand one variable at a time: quantity, geography, or adjacent product. Track sales, gross and net margin, inventory days, collection days, on-time delivery, defects, freight per unit, active customers, customer concentration, and repeat orders.</w:t>
      </w:r>
    </w:p>
    <w:p>
      <w:pPr>
        <w:spacing w:after="140"/>
      </w:pPr>
      <w:r>
        <w:rPr>
          <w:sz w:val="24"/>
          <w:szCs w:val="24"/>
        </w:rPr>
        <w:t xml:space="preserve">A 120-day first-trade plan</w:t>
      </w:r>
    </w:p>
    <w:p>
      <w:pPr>
        <w:spacing w:after="140"/>
      </w:pPr>
      <w:r>
        <w:rPr>
          <w:sz w:val="24"/>
          <w:szCs w:val="24"/>
        </w:rPr>
        <w:t xml:space="preserve">Days 1–20: customer and problem</w:t>
      </w:r>
    </w:p>
    <w:p>
      <w:pPr>
        <w:spacing w:after="140"/>
      </w:pPr>
      <w:r>
        <w:rPr>
          <w:sz w:val="24"/>
          <w:szCs w:val="24"/>
        </w:rPr>
        <w:t xml:space="preserve">Select one sector, conduct twenty interviews, collect specifications and delivered prices, and write the trade thesis.</w:t>
      </w:r>
    </w:p>
    <w:p>
      <w:pPr>
        <w:spacing w:after="140"/>
      </w:pPr>
      <w:r>
        <w:rPr>
          <w:sz w:val="24"/>
          <w:szCs w:val="24"/>
        </w:rPr>
        <w:t xml:space="preserve">Days 21–40: product and counterparties</w:t>
      </w:r>
    </w:p>
    <w:p>
      <w:pPr>
        <w:spacing w:after="140"/>
      </w:pPr>
      <w:r>
        <w:rPr>
          <w:sz w:val="24"/>
          <w:szCs w:val="24"/>
        </w:rPr>
        <w:t xml:space="preserve">Confirm HS, origin, licences, shortlist three parties, conduct verification, collect samples and comparable quotes, and build landed-cost models.</w:t>
      </w:r>
    </w:p>
    <w:p>
      <w:pPr>
        <w:spacing w:after="140"/>
      </w:pPr>
      <w:r>
        <w:rPr>
          <w:sz w:val="24"/>
          <w:szCs w:val="24"/>
        </w:rPr>
        <w:t xml:space="preserve">Days 41–60: contract and finance</w:t>
      </w:r>
    </w:p>
    <w:p>
      <w:pPr>
        <w:spacing w:after="140"/>
      </w:pPr>
      <w:r>
        <w:rPr>
          <w:sz w:val="24"/>
          <w:szCs w:val="24"/>
        </w:rPr>
        <w:t xml:space="preserve">Pre-clear bank, broker, carrier, payment, Incoterm, documentation, inspection, and a pilot contract.</w:t>
      </w:r>
    </w:p>
    <w:p>
      <w:pPr>
        <w:spacing w:after="140"/>
      </w:pPr>
      <w:r>
        <w:rPr>
          <w:sz w:val="24"/>
          <w:szCs w:val="24"/>
        </w:rPr>
        <w:t xml:space="preserve">Days 61–90: execution</w:t>
      </w:r>
    </w:p>
    <w:p>
      <w:pPr>
        <w:spacing w:after="140"/>
      </w:pPr>
      <w:r>
        <w:rPr>
          <w:sz w:val="24"/>
          <w:szCs w:val="24"/>
        </w:rPr>
        <w:t xml:space="preserve">Inspect production, manage documents, booking, shipment and clearance, and record every variance.</w:t>
      </w:r>
    </w:p>
    <w:p>
      <w:pPr>
        <w:spacing w:after="140"/>
      </w:pPr>
      <w:r>
        <w:rPr>
          <w:sz w:val="24"/>
          <w:szCs w:val="24"/>
        </w:rPr>
        <w:t xml:space="preserve">Days 91–120: sales and learning</w:t>
      </w:r>
    </w:p>
    <w:p>
      <w:pPr>
        <w:spacing w:after="140"/>
      </w:pPr>
      <w:r>
        <w:rPr>
          <w:sz w:val="24"/>
          <w:szCs w:val="24"/>
        </w:rPr>
        <w:t xml:space="preserve">Measure sell-through, collection, claims, and real margin. Repeat, modify, switch party or market, or stop.</w:t>
      </w:r>
    </w:p>
    <w:p>
      <w:pPr>
        <w:spacing w:after="140"/>
      </w:pPr>
      <w:r>
        <w:rPr>
          <w:sz w:val="24"/>
          <w:szCs w:val="24"/>
        </w:rPr>
        <w:t xml:space="preserve">Resources</w:t>
      </w:r>
    </w:p>
    <w:p>
      <w:pPr>
        <w:spacing w:after="140"/>
      </w:pPr>
      <w:r>
        <w:rPr>
          <w:sz w:val="24"/>
          <w:szCs w:val="24"/>
        </w:rPr>
        <w:t xml:space="preserve">Syrian Private Sector Dialogue 2026</w:t>
      </w:r>
    </w:p>
    <w:p>
      <w:pPr>
        <w:spacing w:after="140"/>
      </w:pPr>
      <w:r>
        <w:rPr>
          <w:sz w:val="24"/>
          <w:szCs w:val="24"/>
        </w:rPr>
        <w:t xml:space="preserve">World Bank Syria</w:t>
      </w:r>
    </w:p>
    <w:p>
      <w:pPr>
        <w:spacing w:after="140"/>
      </w:pPr>
      <w:r>
        <w:rPr>
          <w:sz w:val="24"/>
          <w:szCs w:val="24"/>
        </w:rPr>
        <w:t xml:space="preserve">WITS Syria trade indicators</w:t>
      </w:r>
    </w:p>
    <w:p>
      <w:pPr>
        <w:spacing w:after="140"/>
      </w:pPr>
      <w:r>
        <w:rPr>
          <w:sz w:val="24"/>
          <w:szCs w:val="24"/>
        </w:rPr>
        <w:t xml:space="preserve">UN Comtrade</w:t>
      </w:r>
    </w:p>
    <w:p>
      <w:pPr>
        <w:spacing w:after="140"/>
      </w:pPr>
      <w:r>
        <w:rPr>
          <w:sz w:val="24"/>
          <w:szCs w:val="24"/>
        </w:rPr>
        <w:t xml:space="preserve">ITC Market Analysis Tools</w:t>
      </w:r>
    </w:p>
    <w:p>
      <w:pPr>
        <w:spacing w:after="140"/>
      </w:pPr>
      <w:r>
        <w:rPr>
          <w:sz w:val="24"/>
          <w:szCs w:val="24"/>
        </w:rPr>
        <w:t xml:space="preserve">WCO Harmonized System</w:t>
      </w:r>
    </w:p>
    <w:p>
      <w:pPr>
        <w:spacing w:after="140"/>
      </w:pPr>
      <w:r>
        <w:rPr>
          <w:sz w:val="24"/>
          <w:szCs w:val="24"/>
        </w:rPr>
        <w:t xml:space="preserve">WCO Customs Valuation</w:t>
      </w:r>
    </w:p>
    <w:p>
      <w:pPr>
        <w:spacing w:after="140"/>
      </w:pPr>
      <w:r>
        <w:rPr>
          <w:sz w:val="24"/>
          <w:szCs w:val="24"/>
        </w:rPr>
        <w:t xml:space="preserve">ICC Incoterms® 2020</w:t>
      </w:r>
    </w:p>
    <w:p>
      <w:pPr>
        <w:spacing w:after="140"/>
      </w:pPr>
      <w:r>
        <w:rPr>
          <w:sz w:val="24"/>
          <w:szCs w:val="24"/>
        </w:rPr>
        <w:t xml:space="preserve">Conclusion</w:t>
      </w:r>
    </w:p>
    <w:p>
      <w:pPr>
        <w:spacing w:after="140"/>
      </w:pPr>
      <w:r>
        <w:rPr>
          <w:sz w:val="24"/>
          <w:szCs w:val="24"/>
        </w:rPr>
        <w:t xml:space="preserve">The best Syria-related import or export opportunity is not necessarily the fashionable product or the highest headline margin. It is the route you can understand and control: a defined customer, repeatable product, verified parties, realistic landed economics, executable payment, compliance, a measured pilot, and evidence-based scaling. Start small, but operate professionally from day one.</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Building an Import–Export Business with Syria in 2026: From Product Selection to a Profitable First Shipment</dc:title>
  <dc:creator>Bsouria</dc:creator>
  <cp:lastModifiedBy>Bsouria</cp:lastModifiedBy>
  <dcterms:created xsi:type="dcterms:W3CDTF">2026-09-15T14:27:02Z</dcterms:created>
</cp:coreProperties>
</file>