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الاستثمار والتمويل في سوريا 2026: كيف تفحص الفرصة وتبني الصفقة؟</w:t>
      </w:r>
    </w:p>
    <w:p>
      <w:pPr>
        <w:bidi/>
        <w:jc w:val="right"/>
      </w:pPr>
      <w:r>
        <w:rPr>
          <w:i/>
          <w:color w:val="64736B"/>
        </w:rPr>
        <w:t>Besouria Editorial Team · 2026-07-26</w:t>
      </w:r>
    </w:p>
    <w:p>
      <w:pPr>
        <w:bidi/>
        <w:jc w:val="right"/>
        <w:spacing w:after="220"/>
      </w:pPr>
      <w:r>
        <w:rPr>
          <w:i/>
        </w:rPr>
        <w:t>منهج عملي لفحص المؤسسين والسوق والأرقام والتقييم والحوكمة والتمويل والامتثال والخروج قبل الاستثمار في مشروع سوري.</w:t>
      </w:r>
    </w:p>
    <w:p>
      <w:pPr>
        <w:bidi/>
        <w:jc w:val="right"/>
        <w:spacing w:after="140"/>
      </w:pPr>
      <w:r>
        <w:rPr>
          <w:sz w:val="24"/>
          <w:szCs w:val="24"/>
        </w:rPr>
        <w:t xml:space="preserve">الاستثمار في سوريا ليس مسابقة لاكتشاف «أكثر قطاع واعد»، بل عملية لتحويل حاجة حقيقية إلى مشروع يمكن تمويله ومراقبته والخروج منه. كل فرصة جيدة يجب أن تصمد أمام أسئلة السوق، والفريق، والترخيص، والسيولة، والعملة، والحوكمة والامتثال.</w:t>
      </w:r>
    </w:p>
    <w:p>
      <w:pPr>
        <w:bidi/>
        <w:jc w:val="right"/>
        <w:spacing w:after="140"/>
      </w:pPr>
      <w:r>
        <w:rPr>
          <w:sz w:val="24"/>
          <w:szCs w:val="24"/>
        </w:rPr>
        <w:t xml:space="preserve">ملاحظة: هذا دليل لاتخاذ القرار وليس توصية بشراء حصة أو إقراض مشروع بعينه. استخدم مختصين قانونيين وماليين مستقلين قبل الالتزام.</w:t>
      </w:r>
    </w:p>
    <w:p>
      <w:pPr>
        <w:bidi/>
        <w:jc w:val="right"/>
        <w:spacing w:after="140"/>
      </w:pPr>
      <w:r>
        <w:rPr>
          <w:sz w:val="24"/>
          <w:szCs w:val="24"/>
        </w:rPr>
        <w:t xml:space="preserve">كيف تقرأ فرصة الاستثمار في سوريا اليوم؟</w:t>
      </w:r>
    </w:p>
    <w:p>
      <w:pPr>
        <w:bidi/>
        <w:jc w:val="right"/>
        <w:spacing w:after="140"/>
      </w:pPr>
      <w:r>
        <w:rPr>
          <w:sz w:val="24"/>
          <w:szCs w:val="24"/>
        </w:rPr>
        <w:t xml:space="preserve">السوق تحمل حاجة كبيرة لرأس المال والخدمات والبنية التحتية، لكنها تعمل في بيئة بيانات محدودة وسيولة متقلبة ومخاطر تنفيذ مرتفعة. لذلك لا يكفي أن يكون القطاع «واعداً». يجب أن تكون الفرصة محددة: عميل معروف، طلب قابل للقياس، ترخيص ممكن، سلسلة توريد قابلة للعمل، وتدفق نقدي مفهوم.</w:t>
      </w:r>
    </w:p>
    <w:p>
      <w:pPr>
        <w:bidi/>
        <w:jc w:val="right"/>
        <w:spacing w:after="140"/>
      </w:pPr>
      <w:r>
        <w:rPr>
          <w:sz w:val="24"/>
          <w:szCs w:val="24"/>
        </w:rPr>
        <w:t xml:space="preserve">تقديرات المؤسسات الدولية تشير إلى تعافٍ تدريجي وإلى احتياجات إعادة إعمار ضخمة، لكن المستثمر المحترف يترجم هذه الصورة العامة إلى مشروع صغير يمكن اختباره، لا إلى رهان مفتوح على البلد كله.</w:t>
      </w:r>
    </w:p>
    <w:p>
      <w:pPr>
        <w:bidi/>
        <w:jc w:val="right"/>
        <w:spacing w:after="140"/>
      </w:pPr>
      <w:r>
        <w:rPr>
          <w:sz w:val="24"/>
          <w:szCs w:val="24"/>
        </w:rPr>
        <w:t xml:space="preserve">اكتب أطروحة الاستثمار في صفحة واحدة</w:t>
      </w:r>
    </w:p>
    <w:p>
      <w:pPr>
        <w:bidi/>
        <w:jc w:val="right"/>
        <w:spacing w:after="140"/>
      </w:pPr>
      <w:r>
        <w:rPr>
          <w:sz w:val="24"/>
          <w:szCs w:val="24"/>
        </w:rPr>
        <w:t xml:space="preserve">قبل إعداد العرض المالي، اكتب: ما المشكلة؟ من العميل؟ لماذا سيدفع؟ ما الميزة؟ ما حجم السوق القابل للوصول؟ ما المخاطر الثلاثة الأكبر؟ وما الدليل الذي سيجعلك تتوقف؟ هذه الصفحة تمنعك من تبرير كل تطور لاحقاً.</w:t>
      </w:r>
    </w:p>
    <w:p>
      <w:pPr>
        <w:bidi/>
        <w:jc w:val="right"/>
        <w:spacing w:after="140"/>
      </w:pPr>
      <w:r>
        <w:rPr>
          <w:sz w:val="24"/>
          <w:szCs w:val="24"/>
        </w:rPr>
        <w:t xml:space="preserve">الأطروحة الجيدة قابلة للنقض. إذا لم تستطع تحديد معلومة قد تغيّر قرارك، فأنت تدافع عن رغبة لا عن استثمار.</w:t>
      </w:r>
    </w:p>
    <w:p>
      <w:pPr>
        <w:bidi/>
        <w:jc w:val="right"/>
        <w:spacing w:after="140"/>
      </w:pPr>
      <w:r>
        <w:rPr>
          <w:sz w:val="24"/>
          <w:szCs w:val="24"/>
        </w:rPr>
        <w:t xml:space="preserve">اختيار الهيكل: شركة، شراكة، قرض أم مشروع مشترك؟</w:t>
      </w:r>
    </w:p>
    <w:p>
      <w:pPr>
        <w:bidi/>
        <w:jc w:val="right"/>
        <w:spacing w:after="140"/>
      </w:pPr>
      <w:r>
        <w:rPr>
          <w:sz w:val="24"/>
          <w:szCs w:val="24"/>
        </w:rPr>
        <w:t xml:space="preserve">التمويل بالملكية يمنح المستثمر حصة ومخاطر أعلى، بينما القرض يحتاج قدرة واضحة على السداد وضمانات وشروطاً قابلة للتنفيذ. المشروع المشترك قد يجمع شريكاً محلياً يملك التشغيل مع شريك يمول أو يقدم التقنية، لكنه يحتاج حوكمة دقيقة.</w:t>
      </w:r>
    </w:p>
    <w:p>
      <w:pPr>
        <w:bidi/>
        <w:jc w:val="right"/>
        <w:spacing w:after="140"/>
      </w:pPr>
      <w:r>
        <w:rPr>
          <w:sz w:val="24"/>
          <w:szCs w:val="24"/>
        </w:rPr>
        <w:t xml:space="preserve">لا تختَر الهيكل بناءً على سهولة التوقيع فقط. قارنه من حيث السيطرة، توزيع الأرباح، الخروج، الضرائب، العملة، النزاعات، المعلومات، والتمويل الإضافي.</w:t>
      </w:r>
    </w:p>
    <w:p>
      <w:pPr>
        <w:bidi/>
        <w:jc w:val="right"/>
        <w:spacing w:after="140"/>
      </w:pPr>
      <w:r>
        <w:rPr>
          <w:sz w:val="24"/>
          <w:szCs w:val="24"/>
        </w:rPr>
        <w:t xml:space="preserve">العناية الواجبة: افحص الأشخاص قبل الأرقام</w:t>
      </w:r>
    </w:p>
    <w:p>
      <w:pPr>
        <w:bidi/>
        <w:jc w:val="right"/>
        <w:spacing w:after="140"/>
      </w:pPr>
      <w:r>
        <w:rPr>
          <w:sz w:val="24"/>
          <w:szCs w:val="24"/>
        </w:rPr>
        <w:t xml:space="preserve">ابدأ بهوية الملاك والمديرين والمستفيد الحقيقي، ثم السجل والترخيص والدعاوى والديون والضرائب والعقود والعملاء والموردين. طابق الإيرادات مع الفواتير والمصرف والمخزون، ولا تعتمد على جدول أعده صاحب المشروع وحده.</w:t>
      </w:r>
    </w:p>
    <w:p>
      <w:pPr>
        <w:bidi/>
        <w:jc w:val="right"/>
        <w:spacing w:after="140"/>
      </w:pPr>
      <w:r>
        <w:rPr>
          <w:sz w:val="24"/>
          <w:szCs w:val="24"/>
        </w:rPr>
        <w:t xml:space="preserve">اتصل بعينة من العملاء والموردين بموافقة الشركة. اسأل عن مواعيد الدفع، والجودة، والاعتماد على شخص واحد. كثير من المخاطر لا تظهر في القوائم المالية.</w:t>
      </w:r>
    </w:p>
    <w:p>
      <w:pPr>
        <w:bidi/>
        <w:jc w:val="right"/>
        <w:spacing w:after="140"/>
      </w:pPr>
      <w:r>
        <w:rPr>
          <w:sz w:val="24"/>
          <w:szCs w:val="24"/>
        </w:rPr>
        <w:t xml:space="preserve">نموذج مالي بسيط لكنه صادق</w:t>
      </w:r>
    </w:p>
    <w:p>
      <w:pPr>
        <w:bidi/>
        <w:jc w:val="right"/>
        <w:spacing w:after="140"/>
      </w:pPr>
      <w:r>
        <w:rPr>
          <w:sz w:val="24"/>
          <w:szCs w:val="24"/>
        </w:rPr>
        <w:t xml:space="preserve">ابنِ نموذجاً شهرياً لأول 24 شهراً يربط المبيعات بالوحدات والسعر والتحصيل، ثم يربط التكاليف بالإنتاج والمخزون والعملة. أظهر رأس المال العامل: كم يوماً يبقى المخزون؟ متى يدفع العميل؟ ومتى يجب دفع المورد؟</w:t>
      </w:r>
    </w:p>
    <w:p>
      <w:pPr>
        <w:bidi/>
        <w:jc w:val="right"/>
        <w:spacing w:after="140"/>
      </w:pPr>
      <w:r>
        <w:rPr>
          <w:sz w:val="24"/>
          <w:szCs w:val="24"/>
        </w:rPr>
        <w:t xml:space="preserve">اختبر انخفاض المبيعات 30%، وتأخر التشغيل ستة أشهر، وارتفاع تكلفة المدخلات، وتغير سعر الصرف. إذا انهارت الشركة في أول ضغط بسيط، فالمشكلة في الهيكل لا في التفاؤل.</w:t>
      </w:r>
    </w:p>
    <w:p>
      <w:pPr>
        <w:bidi/>
        <w:jc w:val="right"/>
        <w:spacing w:after="140"/>
      </w:pPr>
      <w:r>
        <w:rPr>
          <w:sz w:val="24"/>
          <w:szCs w:val="24"/>
        </w:rPr>
        <w:t xml:space="preserve">التقييم: لا تجعل المضاعف بديلاً عن الفهم</w:t>
      </w:r>
    </w:p>
    <w:p>
      <w:pPr>
        <w:bidi/>
        <w:jc w:val="right"/>
        <w:spacing w:after="140"/>
      </w:pPr>
      <w:r>
        <w:rPr>
          <w:sz w:val="24"/>
          <w:szCs w:val="24"/>
        </w:rPr>
        <w:t xml:space="preserve">مضاعف الإيرادات أو الأرباح مفيد للمقارنة، لكنه لا يكفي في سوق سريع التغير. استخدم التدفقات النقدية، والأصول، وتكلفة الاستبدال، ومقارنات المنطقة، ثم أضف خصماً واضحاً للمخاطر. لا تخلط بين قيمة المشروع بعد التمويل وقيمته قبله.</w:t>
      </w:r>
    </w:p>
    <w:p>
      <w:pPr>
        <w:bidi/>
        <w:jc w:val="right"/>
        <w:spacing w:after="140"/>
      </w:pPr>
      <w:r>
        <w:rPr>
          <w:sz w:val="24"/>
          <w:szCs w:val="24"/>
        </w:rPr>
        <w:t xml:space="preserve">الأهم من الرقم هو الشروط: حصة المستثمر، أولوية التوزيع، الحماية من التخفيف، حق المعلومات، ومراحل ضخ التمويل.</w:t>
      </w:r>
    </w:p>
    <w:p>
      <w:pPr>
        <w:bidi/>
        <w:jc w:val="right"/>
        <w:spacing w:after="140"/>
      </w:pPr>
      <w:r>
        <w:rPr>
          <w:sz w:val="24"/>
          <w:szCs w:val="24"/>
        </w:rPr>
        <w:t xml:space="preserve">الحوكمة التي تحمي الطرفين</w:t>
      </w:r>
    </w:p>
    <w:p>
      <w:pPr>
        <w:bidi/>
        <w:jc w:val="right"/>
        <w:spacing w:after="140"/>
      </w:pPr>
      <w:r>
        <w:rPr>
          <w:sz w:val="24"/>
          <w:szCs w:val="24"/>
        </w:rPr>
        <w:t xml:space="preserve">حدد مجلس الإدارة أو لجنة الإشراف، والقرارات التي تحتاج موافقة خاصة، وحدود الصرف، والتوقيع المصرفي، والتقارير الشهرية، والتدقيق، وتعارض المصالح. الحوكمة ليست عقوبة للمؤسس؛ هي وسيلة تجعل التمويل القادم أسهل.</w:t>
      </w:r>
    </w:p>
    <w:p>
      <w:pPr>
        <w:bidi/>
        <w:jc w:val="right"/>
        <w:spacing w:after="140"/>
      </w:pPr>
      <w:r>
        <w:rPr>
          <w:sz w:val="24"/>
          <w:szCs w:val="24"/>
        </w:rPr>
        <w:t xml:space="preserve">اكتب آلية للتعامل مع وفاة شريك أو عجزه أو انسحابه أو إخلاله، ولا تترك أصعب السيناريوهات للنوايا الحسنة.</w:t>
      </w:r>
    </w:p>
    <w:p>
      <w:pPr>
        <w:bidi/>
        <w:jc w:val="right"/>
        <w:spacing w:after="140"/>
      </w:pPr>
      <w:r>
        <w:rPr>
          <w:sz w:val="24"/>
          <w:szCs w:val="24"/>
        </w:rPr>
        <w:t xml:space="preserve">مصادر التمويل الممكنة</w:t>
      </w:r>
    </w:p>
    <w:p>
      <w:pPr>
        <w:bidi/>
        <w:jc w:val="right"/>
        <w:spacing w:after="140"/>
      </w:pPr>
      <w:r>
        <w:rPr>
          <w:sz w:val="24"/>
          <w:szCs w:val="24"/>
        </w:rPr>
        <w:t xml:space="preserve">قد يأتي التمويل من رأس مال المؤسسين، مستثمر ملائكي، شريك استراتيجي، قرض تجاري، تمويل موردين، دفعات عملاء، أو مؤسسة تنموية. كل مصدر له ثمن مختلف: فائدة، حصة، التزام شراء، ضمان، أو قيود تشغيل.</w:t>
      </w:r>
    </w:p>
    <w:p>
      <w:pPr>
        <w:bidi/>
        <w:jc w:val="right"/>
        <w:spacing w:after="140"/>
      </w:pPr>
      <w:r>
        <w:rPr>
          <w:sz w:val="24"/>
          <w:szCs w:val="24"/>
        </w:rPr>
        <w:t xml:space="preserve">أفضل تمويل ليس الأرخص اسماً، بل الأنسب لدورة المشروع. تمويل قصير الأجل لمشروع طويل التطوير قد يخلق أزمة حتى لو كان معدل الفائدة منخفضاً.</w:t>
      </w:r>
    </w:p>
    <w:p>
      <w:pPr>
        <w:bidi/>
        <w:jc w:val="right"/>
        <w:spacing w:after="140"/>
      </w:pPr>
      <w:r>
        <w:rPr>
          <w:sz w:val="24"/>
          <w:szCs w:val="24"/>
        </w:rPr>
        <w:t xml:space="preserve">الامتثال والتحويلات والعقوبات</w:t>
      </w:r>
    </w:p>
    <w:p>
      <w:pPr>
        <w:bidi/>
        <w:jc w:val="right"/>
        <w:spacing w:after="140"/>
      </w:pPr>
      <w:r>
        <w:rPr>
          <w:sz w:val="24"/>
          <w:szCs w:val="24"/>
        </w:rPr>
        <w:t xml:space="preserve">شهدت القيود الدولية المتعلقة بسوريا تغييرات مهمة، لكن لا يزال فحص الأطراف والمنتج والبنك والبلد المقابل ضرورياً. رفع نظام عقوبات عام لا يعني أن كل شخص أو نشاط أو سلعة أصبح مسموحاً تلقائياً.</w:t>
      </w:r>
    </w:p>
    <w:p>
      <w:pPr>
        <w:bidi/>
        <w:jc w:val="right"/>
        <w:spacing w:after="140"/>
      </w:pPr>
      <w:r>
        <w:rPr>
          <w:sz w:val="24"/>
          <w:szCs w:val="24"/>
        </w:rPr>
        <w:t xml:space="preserve">احتفظ بملف مصدر الأموال، والمستفيد الحقيقي، والعقود، والفواتير، والغرض الاقتصادي. البنك أو الشريك الخارجي سيطلب غالباً إثباتاً أكثر مما يتوقعه المؤسس.</w:t>
      </w:r>
    </w:p>
    <w:p>
      <w:pPr>
        <w:bidi/>
        <w:jc w:val="right"/>
        <w:spacing w:after="140"/>
      </w:pPr>
      <w:r>
        <w:rPr>
          <w:sz w:val="24"/>
          <w:szCs w:val="24"/>
        </w:rPr>
        <w:t xml:space="preserve">قطاعات تستحق الدراسة لا الوعود</w:t>
      </w:r>
    </w:p>
    <w:p>
      <w:pPr>
        <w:bidi/>
        <w:jc w:val="right"/>
        <w:spacing w:after="140"/>
      </w:pPr>
      <w:r>
        <w:rPr>
          <w:sz w:val="24"/>
          <w:szCs w:val="24"/>
        </w:rPr>
        <w:t xml:space="preserve">الطاقة، الغذاء، اللوجستيات، مواد البناء، الصحة، البرمجيات، الخدمات المالية، السياحة، والتعليم تحمل احتياجات فعلية. لكن اختيار القطاع يجب أن يتبع ميزة الفريق وطلب العميل، لا قائمة عامة للقطاعات الواعدة.</w:t>
      </w:r>
    </w:p>
    <w:p>
      <w:pPr>
        <w:bidi/>
        <w:jc w:val="right"/>
        <w:spacing w:after="140"/>
      </w:pPr>
      <w:r>
        <w:rPr>
          <w:sz w:val="24"/>
          <w:szCs w:val="24"/>
        </w:rPr>
        <w:t xml:space="preserve">ابدأ بمشروع تجريبي صغير، وقِس الدفع الفعلي، ثم توسع. السوق الذي يمدح المنتج لكنه لا يدفع ليس سوقاً بعد.</w:t>
      </w:r>
    </w:p>
    <w:p>
      <w:pPr>
        <w:bidi/>
        <w:jc w:val="right"/>
        <w:spacing w:after="140"/>
      </w:pPr>
      <w:r>
        <w:rPr>
          <w:sz w:val="24"/>
          <w:szCs w:val="24"/>
        </w:rPr>
        <w:t xml:space="preserve">الخروج والتوزيعات</w:t>
      </w:r>
    </w:p>
    <w:p>
      <w:pPr>
        <w:bidi/>
        <w:jc w:val="right"/>
        <w:spacing w:after="140"/>
      </w:pPr>
      <w:r>
        <w:rPr>
          <w:sz w:val="24"/>
          <w:szCs w:val="24"/>
        </w:rPr>
        <w:t xml:space="preserve">اتفق منذ البداية على سياسة الأرباح، وإعادة الاستثمار، وحق بيع الحصة، والشفعة، والتقييم عند الخروج، وما يحدث إذا لم يوجد مشترٍ. في الأسواق الأقل سيولة، قد يكون العائد من التوزيعات أهم من انتظار بيع كبير.</w:t>
      </w:r>
    </w:p>
    <w:p>
      <w:pPr>
        <w:bidi/>
        <w:jc w:val="right"/>
        <w:spacing w:after="140"/>
      </w:pPr>
      <w:r>
        <w:rPr>
          <w:sz w:val="24"/>
          <w:szCs w:val="24"/>
        </w:rPr>
        <w:t xml:space="preserve">ضع أفقاً زمنياً واقعياً. الاستثمار غير المدرج قد يحتاج سنوات، لذلك يجب ألا تستخدم أموالاً تحتاجها قريباً.</w:t>
      </w:r>
    </w:p>
    <w:p>
      <w:pPr>
        <w:bidi/>
        <w:jc w:val="right"/>
        <w:spacing w:after="140"/>
      </w:pPr>
      <w:r>
        <w:rPr>
          <w:sz w:val="24"/>
          <w:szCs w:val="24"/>
        </w:rPr>
        <w:t xml:space="preserve">قائمة تحقق من 12 خطوة</w:t>
      </w:r>
    </w:p>
    <w:p>
      <w:pPr>
        <w:bidi/>
        <w:jc w:val="right"/>
        <w:spacing w:after="140"/>
      </w:pPr>
      <w:r>
        <w:rPr>
          <w:sz w:val="24"/>
          <w:szCs w:val="24"/>
        </w:rPr>
        <w:t xml:space="preserve">عرّف المشكلة والعميل.</w:t>
      </w:r>
    </w:p>
    <w:p>
      <w:pPr>
        <w:bidi/>
        <w:jc w:val="right"/>
        <w:spacing w:after="140"/>
      </w:pPr>
      <w:r>
        <w:rPr>
          <w:sz w:val="24"/>
          <w:szCs w:val="24"/>
        </w:rPr>
        <w:t xml:space="preserve">تحقق من المؤسسين والمستفيد الحقيقي.</w:t>
      </w:r>
    </w:p>
    <w:p>
      <w:pPr>
        <w:bidi/>
        <w:jc w:val="right"/>
        <w:spacing w:after="140"/>
      </w:pPr>
      <w:r>
        <w:rPr>
          <w:sz w:val="24"/>
          <w:szCs w:val="24"/>
        </w:rPr>
        <w:t xml:space="preserve">راجع التسجيل والترخيص.</w:t>
      </w:r>
    </w:p>
    <w:p>
      <w:pPr>
        <w:bidi/>
        <w:jc w:val="right"/>
        <w:spacing w:after="140"/>
      </w:pPr>
      <w:r>
        <w:rPr>
          <w:sz w:val="24"/>
          <w:szCs w:val="24"/>
        </w:rPr>
        <w:t xml:space="preserve">طابق الإيرادات والمصرف.</w:t>
      </w:r>
    </w:p>
    <w:p>
      <w:pPr>
        <w:bidi/>
        <w:jc w:val="right"/>
        <w:spacing w:after="140"/>
      </w:pPr>
      <w:r>
        <w:rPr>
          <w:sz w:val="24"/>
          <w:szCs w:val="24"/>
        </w:rPr>
        <w:t xml:space="preserve">افحص العملاء والموردين.</w:t>
      </w:r>
    </w:p>
    <w:p>
      <w:pPr>
        <w:bidi/>
        <w:jc w:val="right"/>
        <w:spacing w:after="140"/>
      </w:pPr>
      <w:r>
        <w:rPr>
          <w:sz w:val="24"/>
          <w:szCs w:val="24"/>
        </w:rPr>
        <w:t xml:space="preserve">ابنِ نموذجاً شهرياً.</w:t>
      </w:r>
    </w:p>
    <w:p>
      <w:pPr>
        <w:bidi/>
        <w:jc w:val="right"/>
        <w:spacing w:after="140"/>
      </w:pPr>
      <w:r>
        <w:rPr>
          <w:sz w:val="24"/>
          <w:szCs w:val="24"/>
        </w:rPr>
        <w:t xml:space="preserve">اختبر الضغط.</w:t>
      </w:r>
    </w:p>
    <w:p>
      <w:pPr>
        <w:bidi/>
        <w:jc w:val="right"/>
        <w:spacing w:after="140"/>
      </w:pPr>
      <w:r>
        <w:rPr>
          <w:sz w:val="24"/>
          <w:szCs w:val="24"/>
        </w:rPr>
        <w:t xml:space="preserve">حدد التقييم والشروط.</w:t>
      </w:r>
    </w:p>
    <w:p>
      <w:pPr>
        <w:bidi/>
        <w:jc w:val="right"/>
        <w:spacing w:after="140"/>
      </w:pPr>
      <w:r>
        <w:rPr>
          <w:sz w:val="24"/>
          <w:szCs w:val="24"/>
        </w:rPr>
        <w:t xml:space="preserve">أنشئ حوكمة وتقارير.</w:t>
      </w:r>
    </w:p>
    <w:p>
      <w:pPr>
        <w:bidi/>
        <w:jc w:val="right"/>
        <w:spacing w:after="140"/>
      </w:pPr>
      <w:r>
        <w:rPr>
          <w:sz w:val="24"/>
          <w:szCs w:val="24"/>
        </w:rPr>
        <w:t xml:space="preserve">راجع الامتثال والتحويلات.</w:t>
      </w:r>
    </w:p>
    <w:p>
      <w:pPr>
        <w:bidi/>
        <w:jc w:val="right"/>
        <w:spacing w:after="140"/>
      </w:pPr>
      <w:r>
        <w:rPr>
          <w:sz w:val="24"/>
          <w:szCs w:val="24"/>
        </w:rPr>
        <w:t xml:space="preserve">خطط للتمويل التالي.</w:t>
      </w:r>
    </w:p>
    <w:p>
      <w:pPr>
        <w:bidi/>
        <w:jc w:val="right"/>
        <w:spacing w:after="140"/>
      </w:pPr>
      <w:r>
        <w:rPr>
          <w:sz w:val="24"/>
          <w:szCs w:val="24"/>
        </w:rPr>
        <w:t xml:space="preserve">اكتب سيناريو الخروج.</w:t>
      </w:r>
    </w:p>
    <w:p>
      <w:pPr>
        <w:bidi/>
        <w:jc w:val="right"/>
        <w:spacing w:after="140"/>
      </w:pPr>
      <w:r>
        <w:rPr>
          <w:sz w:val="24"/>
          <w:szCs w:val="24"/>
        </w:rPr>
        <w:t xml:space="preserve">ورقة الشروط قبل العقد الطويل</w:t>
      </w:r>
    </w:p>
    <w:p>
      <w:pPr>
        <w:bidi/>
        <w:jc w:val="right"/>
        <w:spacing w:after="140"/>
      </w:pPr>
      <w:r>
        <w:rPr>
          <w:sz w:val="24"/>
          <w:szCs w:val="24"/>
        </w:rPr>
        <w:t xml:space="preserve">ابدأ بورقة شروط مختصرة تحدد مبلغ الاستثمار، التقييم، الحصة، شكل الأداة، مراحل الدفع، استخدام الأموال، حقوق المعلومات، القرارات المحجوزة، التخفيف، التوزيعات والخروج. يجب أن توضح البنود الملزمة وغير الملزمة والسرية وفترة التفاوض.</w:t>
      </w:r>
    </w:p>
    <w:p>
      <w:pPr>
        <w:bidi/>
        <w:jc w:val="right"/>
        <w:spacing w:after="140"/>
      </w:pPr>
      <w:r>
        <w:rPr>
          <w:sz w:val="24"/>
          <w:szCs w:val="24"/>
        </w:rPr>
        <w:t xml:space="preserve">ورقة الشروط لا تستبدل العقد، لكنها تكشف الخلافات مبكراً. إذا لم يتفق الطرفان على السيطرة والتقييم والخروج، فلا معنى لدفع أتعاب كبيرة لصياغة عقد نهائي.</w:t>
      </w:r>
    </w:p>
    <w:p>
      <w:pPr>
        <w:bidi/>
        <w:jc w:val="right"/>
        <w:spacing w:after="140"/>
      </w:pPr>
      <w:r>
        <w:rPr>
          <w:sz w:val="24"/>
          <w:szCs w:val="24"/>
        </w:rPr>
        <w:t xml:space="preserve">ما الذي يجب أن يوجد في غرفة البيانات؟</w:t>
      </w:r>
    </w:p>
    <w:p>
      <w:pPr>
        <w:bidi/>
        <w:jc w:val="right"/>
        <w:spacing w:after="140"/>
      </w:pPr>
      <w:r>
        <w:rPr>
          <w:sz w:val="24"/>
          <w:szCs w:val="24"/>
        </w:rPr>
        <w:t xml:space="preserve">اطلب وثائق التأسيس، سجل المساهمين، الرخص، العقود الرئيسية، القوائم، حركة المصرف، الضرائب، الرواتب، الملكية الفكرية، الدعاوى، قائمة العملاء والموردين، وسياسة حماية البيانات. ضع قائمة نواقص، واطلب تفسيراً مكتوباً لكل فرق جوهري.</w:t>
      </w:r>
    </w:p>
    <w:p>
      <w:pPr>
        <w:bidi/>
        <w:jc w:val="right"/>
        <w:spacing w:after="140"/>
      </w:pPr>
      <w:r>
        <w:rPr>
          <w:sz w:val="24"/>
          <w:szCs w:val="24"/>
        </w:rPr>
        <w:t xml:space="preserve">لا تسمح للشركة باستبدال المستندات الأصلية بعرض تقديمي. العرض يشرح القصة؛ غرفة البيانات تثبتها.</w:t>
      </w:r>
    </w:p>
    <w:p>
      <w:pPr>
        <w:bidi/>
        <w:jc w:val="right"/>
        <w:spacing w:after="140"/>
      </w:pPr>
      <w:r>
        <w:rPr>
          <w:sz w:val="24"/>
          <w:szCs w:val="24"/>
        </w:rPr>
        <w:t xml:space="preserve">مخاطر العملة والتسعير</w:t>
      </w:r>
    </w:p>
    <w:p>
      <w:pPr>
        <w:bidi/>
        <w:jc w:val="right"/>
        <w:spacing w:after="140"/>
      </w:pPr>
      <w:r>
        <w:rPr>
          <w:sz w:val="24"/>
          <w:szCs w:val="24"/>
        </w:rPr>
        <w:t xml:space="preserve">إذا كانت المبيعات بعملة والتكاليف بعملة أخرى، فالهامش معرض للتغير حتى لو بقي حجم المبيعات ثابتاً. حدّد من يملك حق تعديل السعر، ومدة تثبيته، ومخزون الحماية، وما إذا كان العميل يقبل إعادة التسعير.</w:t>
      </w:r>
    </w:p>
    <w:p>
      <w:pPr>
        <w:bidi/>
        <w:jc w:val="right"/>
        <w:spacing w:after="140"/>
      </w:pPr>
      <w:r>
        <w:rPr>
          <w:sz w:val="24"/>
          <w:szCs w:val="24"/>
        </w:rPr>
        <w:t xml:space="preserve">في النموذج المالي استخدم أكثر من سعر صرف وافصل الربح التشغيلي عن مكاسب أو خسائر العملة. شركة تبدو مربحة قد تكون في الحقيقة تعتمد على حركة صرف مؤقتة.</w:t>
      </w:r>
    </w:p>
    <w:p>
      <w:pPr>
        <w:bidi/>
        <w:jc w:val="right"/>
        <w:spacing w:after="140"/>
      </w:pPr>
      <w:r>
        <w:rPr>
          <w:sz w:val="24"/>
          <w:szCs w:val="24"/>
        </w:rPr>
        <w:t xml:space="preserve">لوحة متابعة شهرية للمستثمر</w:t>
      </w:r>
    </w:p>
    <w:p>
      <w:pPr>
        <w:bidi/>
        <w:jc w:val="right"/>
        <w:spacing w:after="140"/>
      </w:pPr>
      <w:r>
        <w:rPr>
          <w:sz w:val="24"/>
          <w:szCs w:val="24"/>
        </w:rPr>
        <w:t xml:space="preserve">لا تحتاج عشرات المؤشرات. راقب الإيراد المحصل، الهامش، النقد، الذمم، المخزون، عدد العملاء النشطين، تركّز أكبر خمسة عملاء، التزامات الضرائب والرواتب، والتقدم مقابل الخطة. أضف ملاحظة قصيرة تفسر الانحرافات.</w:t>
      </w:r>
    </w:p>
    <w:p>
      <w:pPr>
        <w:bidi/>
        <w:jc w:val="right"/>
        <w:spacing w:after="140"/>
      </w:pPr>
      <w:r>
        <w:rPr>
          <w:sz w:val="24"/>
          <w:szCs w:val="24"/>
        </w:rPr>
        <w:t xml:space="preserve">المؤشر الجيد يؤدي إلى قرار. إذا انخفض التحصيل، يجب أن توجد خطة مسؤول وموعد، لا مجرد رقم أحمر.</w:t>
      </w:r>
    </w:p>
    <w:p>
      <w:pPr>
        <w:bidi/>
        <w:jc w:val="right"/>
        <w:spacing w:after="140"/>
      </w:pPr>
      <w:r>
        <w:rPr>
          <w:sz w:val="24"/>
          <w:szCs w:val="24"/>
        </w:rPr>
        <w:t xml:space="preserve">راتب المؤسس والمعاملات مع الأطراف المرتبطة</w:t>
      </w:r>
    </w:p>
    <w:p>
      <w:pPr>
        <w:bidi/>
        <w:jc w:val="right"/>
        <w:spacing w:after="140"/>
      </w:pPr>
      <w:r>
        <w:rPr>
          <w:sz w:val="24"/>
          <w:szCs w:val="24"/>
        </w:rPr>
        <w:t xml:space="preserve">اتفق على راتب المؤسس ومكافآته ومصاريفه وسياسة التعامل مع شركات يملكها أو أقاربه. غياب القواعد يحول المصروف الشخصي إلى نزاع استثماري، ويجعل القوائم غير قابلة للمقارنة.</w:t>
      </w:r>
    </w:p>
    <w:p>
      <w:pPr>
        <w:bidi/>
        <w:jc w:val="right"/>
        <w:spacing w:after="140"/>
      </w:pPr>
      <w:r>
        <w:rPr>
          <w:sz w:val="24"/>
          <w:szCs w:val="24"/>
        </w:rPr>
        <w:t xml:space="preserve">أي معاملة مع طرف مرتبط يجب أن تكون موثقة وبسعر وشروط يمكن الدفاع عنها، وأن تُعرض على الجهة الحاكمة المناسبة عند تجاوز حدود محددة.</w:t>
      </w:r>
    </w:p>
    <w:p>
      <w:pPr>
        <w:bidi/>
        <w:jc w:val="right"/>
        <w:spacing w:after="140"/>
      </w:pPr>
      <w:r>
        <w:rPr>
          <w:sz w:val="24"/>
          <w:szCs w:val="24"/>
        </w:rPr>
        <w:t xml:space="preserve">مصادر خارجية موثوقة</w:t>
      </w:r>
    </w:p>
    <w:p>
      <w:pPr>
        <w:bidi/>
        <w:jc w:val="right"/>
        <w:spacing w:after="140"/>
      </w:pPr>
      <w:r>
        <w:rPr>
          <w:sz w:val="24"/>
          <w:szCs w:val="24"/>
        </w:rPr>
        <w:t xml:space="preserve">البنك الدولي: التقييم الاقتصادي الكلي والمالي لسوريا 2025</w:t>
      </w:r>
    </w:p>
    <w:p>
      <w:pPr>
        <w:bidi/>
        <w:jc w:val="right"/>
        <w:spacing w:after="140"/>
      </w:pPr>
      <w:r>
        <w:rPr>
          <w:sz w:val="24"/>
          <w:szCs w:val="24"/>
        </w:rPr>
        <w:t xml:space="preserve">البنك الدولي: صفحة سوريا والتعافي الاقتصادي</w:t>
      </w:r>
    </w:p>
    <w:p>
      <w:pPr>
        <w:bidi/>
        <w:jc w:val="right"/>
        <w:spacing w:after="140"/>
      </w:pPr>
      <w:r>
        <w:rPr>
          <w:sz w:val="24"/>
          <w:szCs w:val="24"/>
        </w:rPr>
        <w:t xml:space="preserve">هيئة الاستثمار السورية</w:t>
      </w:r>
    </w:p>
    <w:p>
      <w:pPr>
        <w:bidi/>
        <w:jc w:val="right"/>
        <w:spacing w:after="140"/>
      </w:pPr>
      <w:r>
        <w:rPr>
          <w:sz w:val="24"/>
          <w:szCs w:val="24"/>
        </w:rPr>
        <w:t xml:space="preserve">أونكتاد: تحديثات سياسات الاستثمار المتعلقة بسوريا</w:t>
      </w:r>
    </w:p>
    <w:p>
      <w:pPr>
        <w:bidi/>
        <w:jc w:val="right"/>
        <w:spacing w:after="140"/>
      </w:pPr>
      <w:r>
        <w:rPr>
          <w:sz w:val="24"/>
          <w:szCs w:val="24"/>
        </w:rPr>
        <w:t xml:space="preserve">البنك الدولي: مشروع دعم الإدارة المالية العامة في سوريا</w:t>
      </w:r>
    </w:p>
    <w:p>
      <w:pPr>
        <w:bidi/>
        <w:jc w:val="right"/>
        <w:spacing w:after="140"/>
      </w:pPr>
      <w:r>
        <w:rPr>
          <w:sz w:val="24"/>
          <w:szCs w:val="24"/>
        </w:rPr>
        <w:t xml:space="preserve">روابط داخلية مفيدة</w:t>
      </w:r>
    </w:p>
    <w:p>
      <w:pPr>
        <w:bidi/>
        <w:jc w:val="right"/>
        <w:spacing w:after="140"/>
      </w:pPr>
      <w:r>
        <w:rPr>
          <w:sz w:val="24"/>
          <w:szCs w:val="24"/>
        </w:rPr>
        <w:t xml:space="preserve">دليل فحص الفرص التجارية</w:t>
      </w:r>
    </w:p>
    <w:p>
      <w:pPr>
        <w:bidi/>
        <w:jc w:val="right"/>
        <w:spacing w:after="140"/>
      </w:pPr>
      <w:r>
        <w:rPr>
          <w:sz w:val="24"/>
          <w:szCs w:val="24"/>
        </w:rPr>
        <w:t xml:space="preserve">دليل الضرائب والرسوم</w:t>
      </w:r>
    </w:p>
    <w:p>
      <w:pPr>
        <w:bidi/>
        <w:jc w:val="right"/>
        <w:spacing w:after="140"/>
      </w:pPr>
      <w:r>
        <w:rPr>
          <w:sz w:val="24"/>
          <w:szCs w:val="24"/>
        </w:rPr>
        <w:t xml:space="preserve">دليل الشركات</w:t>
      </w:r>
    </w:p>
    <w:p>
      <w:pPr>
        <w:bidi/>
        <w:jc w:val="right"/>
        <w:spacing w:after="140"/>
      </w:pPr>
      <w:r>
        <w:rPr>
          <w:sz w:val="24"/>
          <w:szCs w:val="24"/>
        </w:rPr>
        <w:t xml:space="preserve">فرص الاستثمار</w:t>
      </w:r>
    </w:p>
    <w:p>
      <w:pPr>
        <w:bidi/>
        <w:jc w:val="right"/>
        <w:spacing w:after="140"/>
      </w:pPr>
      <w:r>
        <w:rPr>
          <w:sz w:val="24"/>
          <w:szCs w:val="24"/>
        </w:rPr>
        <w:t xml:space="preserve">أضف فرصة استثمارية</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الاستثمار والتمويل في سوريا 2026: كيف تفحص الفرصة وتبني الصفقة؟</dc:title>
  <dc:creator>Besouria Editorial Team</dc:creator>
  <cp:lastModifiedBy>Bsouria</cp:lastModifiedBy>
  <dcterms:created xsi:type="dcterms:W3CDTF">2026-07-31T02:22:10Z</dcterms:created>
</cp:coreProperties>
</file>