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الاقتصاد السوري في 2026: كيف تقرأ النمو والتضخم والليرة والاستثمار وإعادة الإعمار؟</w:t>
      </w:r>
    </w:p>
    <w:p>
      <w:pPr>
        <w:bidi/>
        <w:jc w:val="right"/>
      </w:pPr>
      <w:r>
        <w:rPr>
          <w:i/>
          <w:color w:val="64736B"/>
        </w:rPr>
        <w:t>Bsouria Editorial · 2026-07-26</w:t>
      </w:r>
    </w:p>
    <w:p>
      <w:pPr>
        <w:bidi/>
        <w:jc w:val="right"/>
        <w:spacing w:after="220"/>
      </w:pPr>
      <w:r>
        <w:rPr>
          <w:i/>
        </w:rPr>
        <w:t>دليل تحليلي عملي لقراءة الاقتصاد السوري بعيداً عن العناوين السريعة: الناتج، الأسعار، الليرة، المالية العامة، المصارف، القطاعات، الوظائف، الاستثمار وسيناريوهات التعافي.</w:t>
      </w:r>
    </w:p>
    <w:p>
      <w:pPr>
        <w:bidi/>
        <w:jc w:val="right"/>
        <w:spacing w:after="140"/>
      </w:pPr>
      <w:r>
        <w:rPr>
          <w:sz w:val="24"/>
          <w:szCs w:val="24"/>
        </w:rPr>
        <w:t xml:space="preserve">الاقتصاد السوري في 2026 لا يمكن اختزاله في جملة واحدة من نوع «بدأ التعافي» أو «ما زالت الأزمة مستمرة». العبارتان قد تكونان صحيحتين في الوقت نفسه: النشاط يتحسن في قطاعات ومناطق، بينما تبقى القدرة الشرائية والخدمات والتمويل وفرص العمل أضعف بكثير من احتياجات الناس. هذا الدليل لا يحاول بيع التفاؤل ولا تضخيم الخطر؛ بل يقدم طريقة عملية لقراءة الأرقام والقرارات والفرص، والتمييز بين تحسن قصير الأجل وتعافٍ اقتصادي قابل للاستمرار.</w:t>
      </w:r>
    </w:p>
    <w:p>
      <w:pPr>
        <w:bidi/>
        <w:jc w:val="right"/>
        <w:spacing w:after="140"/>
      </w:pPr>
      <w:r>
        <w:rPr>
          <w:sz w:val="24"/>
          <w:szCs w:val="24"/>
        </w:rPr>
        <w:t xml:space="preserve">ملاحظة منهجية: البيانات السورية ما زالت محدودة ومتأخرة ومتفاوتة الجودة. لذلك نذكر تاريخ المصدر، ونستخدم نطاقات بدلاً من رقم واحد عندما تختلف التقديرات، ولا نتعامل مع أي توقع على أنه ضمان.</w:t>
      </w:r>
    </w:p>
    <w:p>
      <w:pPr>
        <w:bidi/>
        <w:jc w:val="right"/>
        <w:spacing w:after="140"/>
      </w:pPr>
      <w:r>
        <w:rPr>
          <w:sz w:val="24"/>
          <w:szCs w:val="24"/>
        </w:rPr>
        <w:t xml:space="preserve">1. نقطة البداية: اقتصاد أصغر بكثير من حجمه قبل 2011</w:t>
      </w:r>
    </w:p>
    <w:p>
      <w:pPr>
        <w:bidi/>
        <w:jc w:val="right"/>
        <w:spacing w:after="140"/>
      </w:pPr>
      <w:r>
        <w:rPr>
          <w:sz w:val="24"/>
          <w:szCs w:val="24"/>
        </w:rPr>
        <w:t xml:space="preserve">يبدأ أي تحليل جاد من حجم الضرر المتراكم. قدّر البنك الدولي في تقييمه للمالية العامة والاقتصاد الكلي لعام 2025 أن الناتج المحلي تقلص بأكثر من النصف مقارنة بعام 2010، وأن نصيب الفرد من الدخل القومي بلغ نحو 830 دولاراً في 2024. كما أشار إلى أن الفقر المدقع يطال واحداً من كل أربعة سوريين، وأن ثلثي السكان يعيشون تحت خط الفقر الخاص بالدول ذات الدخل المتوسط الأدنى.</w:t>
      </w:r>
    </w:p>
    <w:p>
      <w:pPr>
        <w:bidi/>
        <w:jc w:val="right"/>
        <w:spacing w:after="140"/>
      </w:pPr>
      <w:r>
        <w:rPr>
          <w:sz w:val="24"/>
          <w:szCs w:val="24"/>
        </w:rPr>
        <w:t xml:space="preserve">هذا يعني أن نمو الاقتصاد بنسبة 3% أو 4% في سنة واحدة خبر جيد، لكنه لا يعيد تلقائياً ما فُقد خلال عقد ونصف. عندما ينخفض النشاط إلى قاعدة صغيرة، قد تبدو نسبة النمو مرتفعة بينما تبقى المصانع والخدمات والدخل الحقيقي دون مستوياتها السابقة.</w:t>
      </w:r>
    </w:p>
    <w:p>
      <w:pPr>
        <w:bidi/>
        <w:jc w:val="right"/>
        <w:spacing w:after="140"/>
      </w:pPr>
      <w:r>
        <w:rPr>
          <w:sz w:val="24"/>
          <w:szCs w:val="24"/>
        </w:rPr>
        <w:t xml:space="preserve">2. لماذا تختلف أرقام النمو بين تقرير وآخر؟</w:t>
      </w:r>
    </w:p>
    <w:p>
      <w:pPr>
        <w:bidi/>
        <w:jc w:val="right"/>
        <w:spacing w:after="140"/>
      </w:pPr>
      <w:r>
        <w:rPr>
          <w:sz w:val="24"/>
          <w:szCs w:val="24"/>
        </w:rPr>
        <w:t xml:space="preserve">في تموز 2025 توقع البنك الدولي نمواً متواضعاً بنحو 1% لعام 2025، بينما تشير صفحة سوريا المحدثة لدى البنك إلى أن مؤشرات عالية التواتر رجحت لاحقاً نمواً فعلياً ضمن نطاق 2% إلى 4%. لا يعني ذلك أن أحد الرقمين «كاذب»؛ الأول توقع بُني على المعلومات المتاحة وقتها، والثاني تقدير أحدث بعد ظهور إشارات مثل حركة الموانئ والطيران والكهرباء والتسجيلات التجارية.</w:t>
      </w:r>
    </w:p>
    <w:p>
      <w:pPr>
        <w:bidi/>
        <w:jc w:val="right"/>
        <w:spacing w:after="140"/>
      </w:pPr>
      <w:r>
        <w:rPr>
          <w:sz w:val="24"/>
          <w:szCs w:val="24"/>
        </w:rPr>
        <w:t xml:space="preserve">في اقتصاد يعاني نقص الإحصاءات، يستخدم المحللون مؤشرات بديلة: استهلاك الكهرباء، حركة الشاحنات والمرافئ، تسجيل الشركات، أسعار المواد، إنتاج المحاصيل، الازدحام، التحويلات، عدد الرحلات، صور الأقمار الصناعية، وبيانات الهاتف. لذلك اسأل دائماً: هل الرقم توقع أم تقدير أولي أم نتيجة نهائية؟ وما تاريخ نشره؟</w:t>
      </w:r>
    </w:p>
    <w:p>
      <w:pPr>
        <w:bidi/>
        <w:jc w:val="right"/>
        <w:spacing w:after="140"/>
      </w:pPr>
      <w:r>
        <w:rPr>
          <w:sz w:val="24"/>
          <w:szCs w:val="24"/>
        </w:rPr>
        <w:t xml:space="preserve">المؤشرما الذي يقيسه فعلياً؟ما الذي قد يخفيه؟</w:t>
      </w:r>
    </w:p>
    <w:p>
      <w:pPr>
        <w:bidi/>
        <w:jc w:val="right"/>
        <w:spacing w:after="140"/>
      </w:pPr>
      <w:r>
        <w:rPr>
          <w:sz w:val="24"/>
          <w:szCs w:val="24"/>
        </w:rPr>
        <w:t xml:space="preserve">الناتج المحليقيمة الإنتاج داخل الاقتصادتوزيع الدخل والاقتصاد غير الرسمي</w:t>
      </w:r>
    </w:p>
    <w:p>
      <w:pPr>
        <w:bidi/>
        <w:jc w:val="right"/>
        <w:spacing w:after="140"/>
      </w:pPr>
      <w:r>
        <w:rPr>
          <w:sz w:val="24"/>
          <w:szCs w:val="24"/>
        </w:rPr>
        <w:t xml:space="preserve">التضخممتوسط تغير سلة أسعاراختلاف الأسعار بين المدن والأسر</w:t>
      </w:r>
    </w:p>
    <w:p>
      <w:pPr>
        <w:bidi/>
        <w:jc w:val="right"/>
        <w:spacing w:after="140"/>
      </w:pPr>
      <w:r>
        <w:rPr>
          <w:sz w:val="24"/>
          <w:szCs w:val="24"/>
        </w:rPr>
        <w:t xml:space="preserve">سعر الصرفقيمة العملة في سوق محددتوفر العملة وسيولة السوق والعمولات</w:t>
      </w:r>
    </w:p>
    <w:p>
      <w:pPr>
        <w:bidi/>
        <w:jc w:val="right"/>
        <w:spacing w:after="140"/>
      </w:pPr>
      <w:r>
        <w:rPr>
          <w:sz w:val="24"/>
          <w:szCs w:val="24"/>
        </w:rPr>
        <w:t xml:space="preserve">التسجيلات التجاريةنشاط تأسيس رسمياستمرار الشركة أو حجم تشغيلها</w:t>
      </w:r>
    </w:p>
    <w:p>
      <w:pPr>
        <w:bidi/>
        <w:jc w:val="right"/>
        <w:spacing w:after="140"/>
      </w:pPr>
      <w:r>
        <w:rPr>
          <w:sz w:val="24"/>
          <w:szCs w:val="24"/>
        </w:rPr>
        <w:t xml:space="preserve">حركة المرافئ والطيرانالاتصال والتجارة والتنقلقيمة السلع وصافي الأثر المحلي</w:t>
      </w:r>
    </w:p>
    <w:p>
      <w:pPr>
        <w:bidi/>
        <w:jc w:val="right"/>
        <w:spacing w:after="140"/>
      </w:pPr>
      <w:r>
        <w:rPr>
          <w:sz w:val="24"/>
          <w:szCs w:val="24"/>
        </w:rPr>
        <w:t xml:space="preserve">3. النمو ليس هو التعافي، والتعافي ليس هو التنمية</w:t>
      </w:r>
    </w:p>
    <w:p>
      <w:pPr>
        <w:bidi/>
        <w:jc w:val="right"/>
        <w:spacing w:after="140"/>
      </w:pPr>
      <w:r>
        <w:rPr>
          <w:sz w:val="24"/>
          <w:szCs w:val="24"/>
        </w:rPr>
        <w:t xml:space="preserve">النمو يعني أن الإنتاج ارتفع مقارنة بالفترة السابقة. التعافي يعني استعادة جزء من خسائر سابقة. أما التنمية فتعني أن التحسن أصبح أوسع وأكثر إنتاجية واستدامة، وظهر في التعليم والصحة والدخل والمؤسسات وفرص العمل.</w:t>
      </w:r>
    </w:p>
    <w:p>
      <w:pPr>
        <w:bidi/>
        <w:jc w:val="right"/>
        <w:spacing w:after="140"/>
      </w:pPr>
      <w:r>
        <w:rPr>
          <w:sz w:val="24"/>
          <w:szCs w:val="24"/>
        </w:rPr>
        <w:t xml:space="preserve">برنامج الأمم المتحدة الإنمائي حذر في شباط 2025 من أن الاقتصاد، عند معدلات النمو الضعيفة، قد لا يستعيد مستوى الناتج السابق للصراع قبل 2080. وبيّن أن تقليص زمن التعافي إلى عشر سنوات يحتاج تسارعاً كبيراً ومستداماً في النمو، لا مجرد سنة جيدة. الرسالة ليست أن التعافي مستحيل؛ بل أن البنية التحتية والمؤسسات ورأس المال البشري تحدد سرعة التحسن.</w:t>
      </w:r>
    </w:p>
    <w:p>
      <w:pPr>
        <w:bidi/>
        <w:jc w:val="right"/>
        <w:spacing w:after="140"/>
      </w:pPr>
      <w:r>
        <w:rPr>
          <w:sz w:val="24"/>
          <w:szCs w:val="24"/>
        </w:rPr>
        <w:t xml:space="preserve">4. التضخم: لماذا قد ينخفض المعدل ولا تنخفض الأسعار؟</w:t>
      </w:r>
    </w:p>
    <w:p>
      <w:pPr>
        <w:bidi/>
        <w:jc w:val="right"/>
        <w:spacing w:after="140"/>
      </w:pPr>
      <w:r>
        <w:rPr>
          <w:sz w:val="24"/>
          <w:szCs w:val="24"/>
        </w:rPr>
        <w:t xml:space="preserve">قدّر البنك الدولي التضخم في 2025 بنحو 11.5% بعد مستوى مرتفع جداً في 2024، وأشار صندوق النقد الدولي في شباط 2026 إلى تباطؤ التضخم إلى خانة العشرات المنخفضة بنهاية 2025. انخفاض التضخم يعني أن الأسعار ترتفع بوتيرة أبطأ، لا أنها عادت إلى مستوياتها القديمة.</w:t>
      </w:r>
    </w:p>
    <w:p>
      <w:pPr>
        <w:bidi/>
        <w:jc w:val="right"/>
        <w:spacing w:after="140"/>
      </w:pPr>
      <w:r>
        <w:rPr>
          <w:sz w:val="24"/>
          <w:szCs w:val="24"/>
        </w:rPr>
        <w:t xml:space="preserve">إذا ارتفع سعر سلعة من 100 إلى 170 ثم أصبح التضخم أقل، قد ترتفع لاحقاً إلى 180 بدلاً من 240. يشعر المستهلك بتحسن عندما يرتفع دخله الحقيقي، وتتوافر السلع، وتنخفض تقلبات الأسعار، وليس فقط عندما يتحسن رقم التضخم السنوي.</w:t>
      </w:r>
    </w:p>
    <w:p>
      <w:pPr>
        <w:bidi/>
        <w:jc w:val="right"/>
        <w:spacing w:after="140"/>
      </w:pPr>
      <w:r>
        <w:rPr>
          <w:sz w:val="24"/>
          <w:szCs w:val="24"/>
        </w:rPr>
        <w:t xml:space="preserve">مؤشرات منزلية وتجارية أكثر فائدة</w:t>
      </w:r>
    </w:p>
    <w:p>
      <w:pPr>
        <w:bidi/>
        <w:jc w:val="right"/>
        <w:spacing w:after="140"/>
      </w:pPr>
      <w:r>
        <w:rPr>
          <w:sz w:val="24"/>
          <w:szCs w:val="24"/>
        </w:rPr>
        <w:t xml:space="preserve">نسبة الغذاء والسكن والطاقة من دخل الأسرة.</w:t>
      </w:r>
    </w:p>
    <w:p>
      <w:pPr>
        <w:bidi/>
        <w:jc w:val="right"/>
        <w:spacing w:after="140"/>
      </w:pPr>
      <w:r>
        <w:rPr>
          <w:sz w:val="24"/>
          <w:szCs w:val="24"/>
        </w:rPr>
        <w:t xml:space="preserve">عدد أيام المخزون التي تستطيع الشركة تمويلها.</w:t>
      </w:r>
    </w:p>
    <w:p>
      <w:pPr>
        <w:bidi/>
        <w:jc w:val="right"/>
        <w:spacing w:after="140"/>
      </w:pPr>
      <w:r>
        <w:rPr>
          <w:sz w:val="24"/>
          <w:szCs w:val="24"/>
        </w:rPr>
        <w:t xml:space="preserve">الفارق بين سعر الشراء وسعر إعادة التسعير.</w:t>
      </w:r>
    </w:p>
    <w:p>
      <w:pPr>
        <w:bidi/>
        <w:jc w:val="right"/>
        <w:spacing w:after="140"/>
      </w:pPr>
      <w:r>
        <w:rPr>
          <w:sz w:val="24"/>
          <w:szCs w:val="24"/>
        </w:rPr>
        <w:t xml:space="preserve">مدة تثبيت عروض الموردين.</w:t>
      </w:r>
    </w:p>
    <w:p>
      <w:pPr>
        <w:bidi/>
        <w:jc w:val="right"/>
        <w:spacing w:after="140"/>
      </w:pPr>
      <w:r>
        <w:rPr>
          <w:sz w:val="24"/>
          <w:szCs w:val="24"/>
        </w:rPr>
        <w:t xml:space="preserve">هل تتحسن الرواتب أسرع أم أبطأ من الأسعار؟</w:t>
      </w:r>
    </w:p>
    <w:p>
      <w:pPr>
        <w:bidi/>
        <w:jc w:val="right"/>
        <w:spacing w:after="140"/>
      </w:pPr>
      <w:r>
        <w:rPr>
          <w:sz w:val="24"/>
          <w:szCs w:val="24"/>
        </w:rPr>
        <w:t xml:space="preserve">5. الليرة وسعر الصرف: لا تقرأ الرقم منفصلاً عن السوق</w:t>
      </w:r>
    </w:p>
    <w:p>
      <w:pPr>
        <w:bidi/>
        <w:jc w:val="right"/>
        <w:spacing w:after="140"/>
      </w:pPr>
      <w:r>
        <w:rPr>
          <w:sz w:val="24"/>
          <w:szCs w:val="24"/>
        </w:rPr>
        <w:t xml:space="preserve">أشار صندوق النقد إلى تحسن سعر الصرف مقارنة بعام 2024، وربط ذلك بالانضباط النقدي وعدم تمويل الموازنة مباشرة من المصرف المركزي. لكن سعر الصرف يتأثر أيضاً بتدفقات التحويلات، الثقة، الطلب على الاستيراد، توفر النقد، عودة الأموال، وتوقعات الناس.</w:t>
      </w:r>
    </w:p>
    <w:p>
      <w:pPr>
        <w:bidi/>
        <w:jc w:val="right"/>
        <w:spacing w:after="140"/>
      </w:pPr>
      <w:r>
        <w:rPr>
          <w:sz w:val="24"/>
          <w:szCs w:val="24"/>
        </w:rPr>
        <w:t xml:space="preserve">بالنسبة للشركة، المهم ليس السعر المعلن وحده؛ بل السعر القابل للتنفيذ، والعمولة، ومدة التحويل، ومخاطر تغير السعر بين الطلب والتسوية. راجع دليل المصارف والدفع في سوريا لفهم الفرق بين قبول العملية ووصول الأموال فعلياً.</w:t>
      </w:r>
    </w:p>
    <w:p>
      <w:pPr>
        <w:bidi/>
        <w:jc w:val="right"/>
        <w:spacing w:after="140"/>
      </w:pPr>
      <w:r>
        <w:rPr>
          <w:sz w:val="24"/>
          <w:szCs w:val="24"/>
        </w:rPr>
        <w:t xml:space="preserve">قاعدة عملية: لا تبنِ ميزانية سنة كاملة على سعر صرف واحد. استخدم سيناريو أساسياً، وسيناريو ضغط، وحدد من يتحمل فرق العملة في العقود.</w:t>
      </w:r>
    </w:p>
    <w:p>
      <w:pPr>
        <w:bidi/>
        <w:jc w:val="right"/>
        <w:spacing w:after="140"/>
      </w:pPr>
      <w:r>
        <w:rPr>
          <w:sz w:val="24"/>
          <w:szCs w:val="24"/>
        </w:rPr>
        <w:t xml:space="preserve">6. المالية العامة: كيف تنفق الدولة من دون إعادة إشعال التضخم؟</w:t>
      </w:r>
    </w:p>
    <w:p>
      <w:pPr>
        <w:bidi/>
        <w:jc w:val="right"/>
        <w:spacing w:after="140"/>
      </w:pPr>
      <w:r>
        <w:rPr>
          <w:sz w:val="24"/>
          <w:szCs w:val="24"/>
        </w:rPr>
        <w:t xml:space="preserve">قال صندوق النقد إن موازنة الحكومة المركزية سجلت فائضاً صغيراً في 2025، وإن وزارة المالية امتنعت عن تمويل العجز من المصرف المركزي. هذه نقطة مهمة لأن تمويل الإنفاق بطباعة نقود من دون إنتاج مقابل كان أحد مصادر الضغط التضخمي.</w:t>
      </w:r>
    </w:p>
    <w:p>
      <w:pPr>
        <w:bidi/>
        <w:jc w:val="right"/>
        <w:spacing w:after="140"/>
      </w:pPr>
      <w:r>
        <w:rPr>
          <w:sz w:val="24"/>
          <w:szCs w:val="24"/>
        </w:rPr>
        <w:t xml:space="preserve">لكن الحيز المالي ما زال شديد الضيق. ذكر البنك الدولي في مشروع دعم إدارة المالية العامة لعام 2026 أن الإيرادات العامة انخفضت من قرابة 20% من الناتج قبل الصراع إلى أقل من 5%، بسبب تراجع إيرادات النفط والضرائب. لذلك تواجه الحكومة معادلة صعبة: زيادة الإنفاق على الأجور والصحة والتعليم والبنية التحتية، مع تحسين الجباية والشفافية وعدم العودة إلى تمويل تضخمي.</w:t>
      </w:r>
    </w:p>
    <w:p>
      <w:pPr>
        <w:bidi/>
        <w:jc w:val="right"/>
        <w:spacing w:after="140"/>
      </w:pPr>
      <w:r>
        <w:rPr>
          <w:sz w:val="24"/>
          <w:szCs w:val="24"/>
        </w:rPr>
        <w:t xml:space="preserve">للشركات، إصلاح المالية العامة يعني تحديث الضرائب والجمارك والمشتريات الحكومية والرقمنة. اقرأ دليل الضرائب والرسوم قبل بناء توقعات التكلفة.</w:t>
      </w:r>
    </w:p>
    <w:p>
      <w:pPr>
        <w:bidi/>
        <w:jc w:val="right"/>
        <w:spacing w:after="140"/>
      </w:pPr>
      <w:r>
        <w:rPr>
          <w:sz w:val="24"/>
          <w:szCs w:val="24"/>
        </w:rPr>
        <w:t xml:space="preserve">7. المصارف والائتمان: التعافي يحتاج وساطة مالية حقيقية</w:t>
      </w:r>
    </w:p>
    <w:p>
      <w:pPr>
        <w:bidi/>
        <w:jc w:val="right"/>
        <w:spacing w:after="140"/>
      </w:pPr>
      <w:r>
        <w:rPr>
          <w:sz w:val="24"/>
          <w:szCs w:val="24"/>
        </w:rPr>
        <w:t xml:space="preserve">المصرف لا يخدم الاقتصاد فقط بحفظ الأموال؛ بل بتحويل المدخرات إلى تمويل، وتسوية المدفوعات، وتقييم المخاطر. صندوق النقد دعا إلى تقييم صحة المصارف وإعادة هيكلة النظام المصرفي وتقوية الرقابة واستعادة الثقة. من دون ذلك تبقى الشركات تعتمد على النقد، وقروض الشركاء، وائتمان الموردين، والتحويلات غير الرسمية.</w:t>
      </w:r>
    </w:p>
    <w:p>
      <w:pPr>
        <w:bidi/>
        <w:jc w:val="right"/>
        <w:spacing w:after="140"/>
      </w:pPr>
      <w:r>
        <w:rPr>
          <w:sz w:val="24"/>
          <w:szCs w:val="24"/>
        </w:rPr>
        <w:t xml:space="preserve">تحسن المدفوعات مهم لكنه لا يساوي تلقائياً توفر القروض. الائتمان المنتج يحتاج قوائم مالية قابلة للتحقق، وضمانات مناسبة، وسجلات ائتمانية، وقضاءً وعقوداً قابلة للتنفيذ. لذلك على المنشأة التي تريد تمويلاً أن تبدأ بتنظيم حساباتها وعقودها قبل زيارة المصرف.</w:t>
      </w:r>
    </w:p>
    <w:p>
      <w:pPr>
        <w:bidi/>
        <w:jc w:val="right"/>
        <w:spacing w:after="140"/>
      </w:pPr>
      <w:r>
        <w:rPr>
          <w:sz w:val="24"/>
          <w:szCs w:val="24"/>
        </w:rPr>
        <w:t xml:space="preserve">8. الكهرباء والطاقة: المؤشر الذي يدخل في كل فاتورة</w:t>
      </w:r>
    </w:p>
    <w:p>
      <w:pPr>
        <w:bidi/>
        <w:jc w:val="right"/>
        <w:spacing w:after="140"/>
      </w:pPr>
      <w:r>
        <w:rPr>
          <w:sz w:val="24"/>
          <w:szCs w:val="24"/>
        </w:rPr>
        <w:t xml:space="preserve">زيادة تزويد الكهرباء أحد العوامل التي ربطها صندوق النقد والبنك الدولي بتحسن النشاط. الكهرباء لا ترفع إنتاج المصنع فقط؛ بل تخفض كلفة المولد والوقود والتوقف والتلف، وتحسن الاتصالات والتبريد والمياه والخدمات الصحية.</w:t>
      </w:r>
    </w:p>
    <w:p>
      <w:pPr>
        <w:bidi/>
        <w:jc w:val="right"/>
        <w:spacing w:after="140"/>
      </w:pPr>
      <w:r>
        <w:rPr>
          <w:sz w:val="24"/>
          <w:szCs w:val="24"/>
        </w:rPr>
        <w:t xml:space="preserve">عند تقييم مشروع، لا تكتب «الكهرباء متوفرة» أو «غير متوفرة». سجل ساعات الشبكة، كلفة البديل، استهلاك كل وحدة إنتاج، خسائر الانقطاع، وقدرة التخزين. مشروع ذو هامش ربح جيد على الورق قد يصبح ضعيفاً إذا كانت الطاقة غير مستقرة.</w:t>
      </w:r>
    </w:p>
    <w:p>
      <w:pPr>
        <w:bidi/>
        <w:jc w:val="right"/>
        <w:spacing w:after="140"/>
      </w:pPr>
      <w:r>
        <w:rPr>
          <w:sz w:val="24"/>
          <w:szCs w:val="24"/>
        </w:rPr>
        <w:t xml:space="preserve">9. الزراعة والغذاء: المطر وحده لا يصنع موسماً مربحاً</w:t>
      </w:r>
    </w:p>
    <w:p>
      <w:pPr>
        <w:bidi/>
        <w:jc w:val="right"/>
        <w:spacing w:after="140"/>
      </w:pPr>
      <w:r>
        <w:rPr>
          <w:sz w:val="24"/>
          <w:szCs w:val="24"/>
        </w:rPr>
        <w:t xml:space="preserve">أشار البنك الدولي إلى تحسن أمطار 2026 بعد جفاف حاد في 2025، لكن الزراعة تتأثر أيضاً بالبذار والأسمدة والوقود والري والنقل والتخزين والتسويق. قد يتحسن الإنتاج وتبقى خسارة المزارع مرتفعة إذا لم توجد سلسلة تبريد أو مشترٍ أو تمويل للموسم.</w:t>
      </w:r>
    </w:p>
    <w:p>
      <w:pPr>
        <w:bidi/>
        <w:jc w:val="right"/>
        <w:spacing w:after="140"/>
      </w:pPr>
      <w:r>
        <w:rPr>
          <w:sz w:val="24"/>
          <w:szCs w:val="24"/>
        </w:rPr>
        <w:t xml:space="preserve">اقتصادياً، الزراعة تربط الأمن الغذائي بالتجارة والعمل الريفي وسعر الصرف. ارتفاع الإنتاج المحلي قد يقلل الحاجة إلى بعض الواردات، لكنه يحتاج جودة وتعبئة ومواصفات حتى يتحول إلى صادرات. استعن بـدليل الاستيراد والتصدير عند دراسة الأسواق الخارجية.</w:t>
      </w:r>
    </w:p>
    <w:p>
      <w:pPr>
        <w:bidi/>
        <w:jc w:val="right"/>
        <w:spacing w:after="140"/>
      </w:pPr>
      <w:r>
        <w:rPr>
          <w:sz w:val="24"/>
          <w:szCs w:val="24"/>
        </w:rPr>
        <w:t xml:space="preserve">10. الصناعة والمنشآت الصغيرة: الإنتاجية قبل الشعارات</w:t>
      </w:r>
    </w:p>
    <w:p>
      <w:pPr>
        <w:bidi/>
        <w:jc w:val="right"/>
        <w:spacing w:after="140"/>
      </w:pPr>
      <w:r>
        <w:rPr>
          <w:sz w:val="24"/>
          <w:szCs w:val="24"/>
        </w:rPr>
        <w:t xml:space="preserve">تحمي الصناعة دخل العملة وتخلق روابط مع النقل والتغليف والصيانة والخدمات. لكن الحماية الجمركية وحدها لا تصنع منتجاً منافساً. المنافسة تحتاج جودة، طاقة، تمويل، قطع تبديل، مهارات، مواصفات، وسوقاً يمكن الوصول إليه.</w:t>
      </w:r>
    </w:p>
    <w:p>
      <w:pPr>
        <w:bidi/>
        <w:jc w:val="right"/>
        <w:spacing w:after="140"/>
      </w:pPr>
      <w:r>
        <w:rPr>
          <w:sz w:val="24"/>
          <w:szCs w:val="24"/>
        </w:rPr>
        <w:t xml:space="preserve">المنشأة الصغيرة يجب أن تقيس إنتاجية الساعة، نسبة الهدر، مرتجعات العملاء، وقت التوقف، أيام المخزون، وهامش الربح بعد الطاقة والنقل. زيادة المبيعات مع خسارة كل وحدة ليست نمواً صحياً.</w:t>
      </w:r>
    </w:p>
    <w:p>
      <w:pPr>
        <w:bidi/>
        <w:jc w:val="right"/>
        <w:spacing w:after="140"/>
      </w:pPr>
      <w:r>
        <w:rPr>
          <w:sz w:val="24"/>
          <w:szCs w:val="24"/>
        </w:rPr>
        <w:t xml:space="preserve">11. التجارة والانفتاح: الفرصة والتحدي في الوقت نفسه</w:t>
      </w:r>
    </w:p>
    <w:p>
      <w:pPr>
        <w:bidi/>
        <w:jc w:val="right"/>
        <w:spacing w:after="140"/>
      </w:pPr>
      <w:r>
        <w:rPr>
          <w:sz w:val="24"/>
          <w:szCs w:val="24"/>
        </w:rPr>
        <w:t xml:space="preserve">إعادة الاندماج الإقليمي وتخفيف القيود الدولية يمكن أن توسع الوصول إلى المعدات والتمويل والأسواق، لكنها تعرض المنتج المحلي أيضاً لمنافسة أقوى. أعلنت وزارة الاقتصاد توجهاً نحو سوق حر منظم واقتصاد تنافسي مع شراكة أكبر للقطاع الخاص.</w:t>
      </w:r>
    </w:p>
    <w:p>
      <w:pPr>
        <w:bidi/>
        <w:jc w:val="right"/>
        <w:spacing w:after="140"/>
      </w:pPr>
      <w:r>
        <w:rPr>
          <w:sz w:val="24"/>
          <w:szCs w:val="24"/>
        </w:rPr>
        <w:t xml:space="preserve">التاجر الذكي لا يسأل فقط «هل يمكن الاستيراد؟»، بل يحسب السعر الواصل، والرسوم، والتمويل، والوقت، والمواصفة، والمخاطر القانونية، وخدمة ما بعد البيع. والمصدر لا يكتفي بسعر منخفض؛ بل يحتاج انتظاماً وجودة ووثائق ودفعاً آمناً.</w:t>
      </w:r>
    </w:p>
    <w:p>
      <w:pPr>
        <w:bidi/>
        <w:jc w:val="right"/>
        <w:spacing w:after="140"/>
      </w:pPr>
      <w:r>
        <w:rPr>
          <w:sz w:val="24"/>
          <w:szCs w:val="24"/>
        </w:rPr>
        <w:t xml:space="preserve">12. الوظائف والدخل: المقياس الذي يهم الناس فعلياً</w:t>
      </w:r>
    </w:p>
    <w:p>
      <w:pPr>
        <w:bidi/>
        <w:jc w:val="right"/>
        <w:spacing w:after="140"/>
      </w:pPr>
      <w:r>
        <w:rPr>
          <w:sz w:val="24"/>
          <w:szCs w:val="24"/>
        </w:rPr>
        <w:t xml:space="preserve">قد ينمو الناتج من مشروع كبير أو تحسن قطاع نفطي من دون أن تظهر وظائف كافية بسرعة. دراسة منظمة العمل الدولية المنشورة في أيار 2026 وجدت أن أكثر من 80% من 5,335 عائداً شملهم المسح كانوا عاطلين وقت الدراسة، رغم امتلاك كثيرين خبرات سابقة.</w:t>
      </w:r>
    </w:p>
    <w:p>
      <w:pPr>
        <w:bidi/>
        <w:jc w:val="right"/>
        <w:spacing w:after="140"/>
      </w:pPr>
      <w:r>
        <w:rPr>
          <w:sz w:val="24"/>
          <w:szCs w:val="24"/>
        </w:rPr>
        <w:t xml:space="preserve">التعافي الشامل يحتاج وظائف في البناء والصناعة والزراعة والخدمات، وتدريباً مرتبطاً بطلب الشركات، واعترافاً بالمهارات المكتسبة خارج سوريا. راجع دليل الوظائف وسوق العمل للباحثين وأصحاب العمل.</w:t>
      </w:r>
    </w:p>
    <w:p>
      <w:pPr>
        <w:bidi/>
        <w:jc w:val="right"/>
        <w:spacing w:after="140"/>
      </w:pPr>
      <w:r>
        <w:rPr>
          <w:sz w:val="24"/>
          <w:szCs w:val="24"/>
        </w:rPr>
        <w:t xml:space="preserve">13. إعادة الإعمار: رقم ضخم، لكن الأولويات أهم من الرقم</w:t>
      </w:r>
    </w:p>
    <w:p>
      <w:pPr>
        <w:bidi/>
        <w:jc w:val="right"/>
        <w:spacing w:after="140"/>
      </w:pPr>
      <w:r>
        <w:rPr>
          <w:sz w:val="24"/>
          <w:szCs w:val="24"/>
        </w:rPr>
        <w:t xml:space="preserve">قدّر البنك الدولي في تشرين الأول 2025 تكلفة إعادة الإعمار بنحو 216 مليار دولار، مع تضرر قرابة ثلث رأس المال المادي السابق للصراع. الرقم يوضح حجم الاحتياج، لكنه لا يعني أن هذا المبلغ سيُنفق دفعة واحدة أو أن كل مشروع مربح.</w:t>
      </w:r>
    </w:p>
    <w:p>
      <w:pPr>
        <w:bidi/>
        <w:jc w:val="right"/>
        <w:spacing w:after="140"/>
      </w:pPr>
      <w:r>
        <w:rPr>
          <w:sz w:val="24"/>
          <w:szCs w:val="24"/>
        </w:rPr>
        <w:t xml:space="preserve">الأولوية الاقتصادية عادة تبدأ بالخدمات التي تفتح نشاطاً آخر: الكهرباء والمياه والطرق والسكن القابل للاستخدام والمدارس والمستشفيات والاتصالات. يجب تقييم كل مشروع وفق أثره، وكلفته الكاملة، ومن يتحمل المخاطر، وكيفية الصيانة، والالتزامات المحتملة على الدولة.</w:t>
      </w:r>
    </w:p>
    <w:p>
      <w:pPr>
        <w:bidi/>
        <w:jc w:val="right"/>
        <w:spacing w:after="140"/>
      </w:pPr>
      <w:r>
        <w:rPr>
          <w:sz w:val="24"/>
          <w:szCs w:val="24"/>
        </w:rPr>
        <w:t xml:space="preserve">14. الاستثمار: فرق كبير بين إعلان المشروع وإغلاق التمويل</w:t>
      </w:r>
    </w:p>
    <w:p>
      <w:pPr>
        <w:bidi/>
        <w:jc w:val="right"/>
        <w:spacing w:after="140"/>
      </w:pPr>
      <w:r>
        <w:rPr>
          <w:sz w:val="24"/>
          <w:szCs w:val="24"/>
        </w:rPr>
        <w:t xml:space="preserve">المشروعات المعلنة تعكس اهتماماً، لكن الاستثمار الحقيقي يمر بدراسة وجدولة وتمويل وتراخيص وعقود وتنفيذ. المستثمر يحتاج وضوح الملكية، إمكانية تحويل الأموال، قواعد الضرائب والجمارك، تسوية النزاعات، توفر الطاقة، والقدرة على الخروج أو توزيع الأرباح.</w:t>
      </w:r>
    </w:p>
    <w:p>
      <w:pPr>
        <w:bidi/>
        <w:jc w:val="right"/>
        <w:spacing w:after="140"/>
      </w:pPr>
      <w:r>
        <w:rPr>
          <w:sz w:val="24"/>
          <w:szCs w:val="24"/>
        </w:rPr>
        <w:t xml:space="preserve">ابدأ من دليل تأسيس الشركات ودليل تمويل المشاريع، ثم نفذ عناية واجبة قانونية ومالية وفنية مستقلة.</w:t>
      </w:r>
    </w:p>
    <w:p>
      <w:pPr>
        <w:bidi/>
        <w:jc w:val="right"/>
        <w:spacing w:after="140"/>
      </w:pPr>
      <w:r>
        <w:rPr>
          <w:sz w:val="24"/>
          <w:szCs w:val="24"/>
        </w:rPr>
        <w:t xml:space="preserve">15. لا يوجد اقتصاد سوري واحد بالمعنى التشغيلي</w:t>
      </w:r>
    </w:p>
    <w:p>
      <w:pPr>
        <w:bidi/>
        <w:jc w:val="right"/>
        <w:spacing w:after="140"/>
      </w:pPr>
      <w:r>
        <w:rPr>
          <w:sz w:val="24"/>
          <w:szCs w:val="24"/>
        </w:rPr>
        <w:t xml:space="preserve">تختلف الكهرباء والنقل والأسعار والطلب والعمالة والعقارات بين محافظة وأخرى، بل بين مدينتين متقاربتين. لذلك لا تُسقط متوسطاً وطنياً على مشروع محلي. ادرس منطقة الخدمة، مصادر التوريد، حركة السكان، عودة المهجرين، المنافسين، والقدرة الشرائية.</w:t>
      </w:r>
    </w:p>
    <w:p>
      <w:pPr>
        <w:bidi/>
        <w:jc w:val="right"/>
        <w:spacing w:after="140"/>
      </w:pPr>
      <w:r>
        <w:rPr>
          <w:sz w:val="24"/>
          <w:szCs w:val="24"/>
        </w:rPr>
        <w:t xml:space="preserve">قد تكون فرصة اللوجستيات قوية قرب ممر تجاري، بينما تكون فرصة التصنيع أفضل قرب مصدر طاقة أو عمالة، وفرصة الخدمات مرتبطة بكثافة السكان والدخل. استخدم دليل الأعمال والفرص لبناء صورة محلية لا عامة فقط.</w:t>
      </w:r>
    </w:p>
    <w:p>
      <w:pPr>
        <w:bidi/>
        <w:jc w:val="right"/>
        <w:spacing w:after="140"/>
      </w:pPr>
      <w:r>
        <w:rPr>
          <w:sz w:val="24"/>
          <w:szCs w:val="24"/>
        </w:rPr>
        <w:t xml:space="preserve">16. لوحة مؤشرات شهرية بدل متابعة الشائعات</w:t>
      </w:r>
    </w:p>
    <w:p>
      <w:pPr>
        <w:bidi/>
        <w:jc w:val="right"/>
        <w:spacing w:after="140"/>
      </w:pPr>
      <w:r>
        <w:rPr>
          <w:sz w:val="24"/>
          <w:szCs w:val="24"/>
        </w:rPr>
        <w:t xml:space="preserve">المجالمؤشر تراقبهالسؤال العملي</w:t>
      </w:r>
    </w:p>
    <w:p>
      <w:pPr>
        <w:bidi/>
        <w:jc w:val="right"/>
        <w:spacing w:after="140"/>
      </w:pPr>
      <w:r>
        <w:rPr>
          <w:sz w:val="24"/>
          <w:szCs w:val="24"/>
        </w:rPr>
        <w:t xml:space="preserve">الأسعارسلة موادك الأساسيةهل الهامش يتحسن بعد إعادة التسعير؟</w:t>
      </w:r>
    </w:p>
    <w:p>
      <w:pPr>
        <w:bidi/>
        <w:jc w:val="right"/>
        <w:spacing w:after="140"/>
      </w:pPr>
      <w:r>
        <w:rPr>
          <w:sz w:val="24"/>
          <w:szCs w:val="24"/>
        </w:rPr>
        <w:t xml:space="preserve">العملةسعر التنفيذ والعمولةكم كلفة التحوط أو التأخير؟</w:t>
      </w:r>
    </w:p>
    <w:p>
      <w:pPr>
        <w:bidi/>
        <w:jc w:val="right"/>
        <w:spacing w:after="140"/>
      </w:pPr>
      <w:r>
        <w:rPr>
          <w:sz w:val="24"/>
          <w:szCs w:val="24"/>
        </w:rPr>
        <w:t xml:space="preserve">الطاقةساعات الشبكة وكلفة البديلكم تكلف كل وحدة إنتاج؟</w:t>
      </w:r>
    </w:p>
    <w:p>
      <w:pPr>
        <w:bidi/>
        <w:jc w:val="right"/>
        <w:spacing w:after="140"/>
      </w:pPr>
      <w:r>
        <w:rPr>
          <w:sz w:val="24"/>
          <w:szCs w:val="24"/>
        </w:rPr>
        <w:t xml:space="preserve">الطلبعدد الطلبات ومتوسط السلةهل النمو حقيقي أم بسبب التضخم؟</w:t>
      </w:r>
    </w:p>
    <w:p>
      <w:pPr>
        <w:bidi/>
        <w:jc w:val="right"/>
        <w:spacing w:after="140"/>
      </w:pPr>
      <w:r>
        <w:rPr>
          <w:sz w:val="24"/>
          <w:szCs w:val="24"/>
        </w:rPr>
        <w:t xml:space="preserve">التحصيلأيام الذمم المدينةهل المبيعات تتحول إلى نقد؟</w:t>
      </w:r>
    </w:p>
    <w:p>
      <w:pPr>
        <w:bidi/>
        <w:jc w:val="right"/>
        <w:spacing w:after="140"/>
      </w:pPr>
      <w:r>
        <w:rPr>
          <w:sz w:val="24"/>
          <w:szCs w:val="24"/>
        </w:rPr>
        <w:t xml:space="preserve">العمالةالدوران والغياب والإنتاجيةهل نقص المهارة يوقف التوسع؟</w:t>
      </w:r>
    </w:p>
    <w:p>
      <w:pPr>
        <w:bidi/>
        <w:jc w:val="right"/>
        <w:spacing w:after="140"/>
      </w:pPr>
      <w:r>
        <w:rPr>
          <w:sz w:val="24"/>
          <w:szCs w:val="24"/>
        </w:rPr>
        <w:t xml:space="preserve">التجارةزمن الشحن والتخليصهل المخزون يغطي التأخير؟</w:t>
      </w:r>
    </w:p>
    <w:p>
      <w:pPr>
        <w:bidi/>
        <w:jc w:val="right"/>
        <w:spacing w:after="140"/>
      </w:pPr>
      <w:r>
        <w:rPr>
          <w:sz w:val="24"/>
          <w:szCs w:val="24"/>
        </w:rPr>
        <w:t xml:space="preserve">17. ثلاثة سيناريوهات بدلاً من توقع واحد</w:t>
      </w:r>
    </w:p>
    <w:p>
      <w:pPr>
        <w:bidi/>
        <w:jc w:val="right"/>
        <w:spacing w:after="140"/>
      </w:pPr>
      <w:r>
        <w:rPr>
          <w:sz w:val="24"/>
          <w:szCs w:val="24"/>
        </w:rPr>
        <w:t xml:space="preserve">السيناريومحركاتهكيف تتصرف الشركة؟</w:t>
      </w:r>
    </w:p>
    <w:p>
      <w:pPr>
        <w:bidi/>
        <w:jc w:val="right"/>
        <w:spacing w:after="140"/>
      </w:pPr>
      <w:r>
        <w:rPr>
          <w:sz w:val="24"/>
          <w:szCs w:val="24"/>
        </w:rPr>
        <w:t xml:space="preserve">تحسن منظماستقرار أكبر، كهرباء وتمويل وتجارة أفضلاستثمر تدريجياً في الطاقة الإنتاجية والناس</w:t>
      </w:r>
    </w:p>
    <w:p>
      <w:pPr>
        <w:bidi/>
        <w:jc w:val="right"/>
        <w:spacing w:after="140"/>
      </w:pPr>
      <w:r>
        <w:rPr>
          <w:sz w:val="24"/>
          <w:szCs w:val="24"/>
        </w:rPr>
        <w:t xml:space="preserve">تعافٍ غير متوازننمو في قطاعات مع بقاء ضعف الدخل والخدماتركز على مناطق وشرائح محددة واحمِ السيولة</w:t>
      </w:r>
    </w:p>
    <w:p>
      <w:pPr>
        <w:bidi/>
        <w:jc w:val="right"/>
        <w:spacing w:after="140"/>
      </w:pPr>
      <w:r>
        <w:rPr>
          <w:sz w:val="24"/>
          <w:szCs w:val="24"/>
        </w:rPr>
        <w:t xml:space="preserve">صدمة جديدةتوتر إقليمي، طاقة أو تمويل أو تجارة أضعفخفض الالتزامات الثابتة ووسّع بدائل الموردين</w:t>
      </w:r>
    </w:p>
    <w:p>
      <w:pPr>
        <w:bidi/>
        <w:jc w:val="right"/>
        <w:spacing w:after="140"/>
      </w:pPr>
      <w:r>
        <w:rPr>
          <w:sz w:val="24"/>
          <w:szCs w:val="24"/>
        </w:rPr>
        <w:t xml:space="preserve">ضع لكل سيناريو حدوداً: عند أي سعر صرف أو كلفة طاقة أو انخفاض مبيعات ستوقف التوسع؟ وما مقدار السيولة التي تحتاجها؟ القرار الجيد ليس توقع المستقبل بدقة، بل البقاء قادراً على التصرف عندما يختلف الواقع عن الخطة.</w:t>
      </w:r>
    </w:p>
    <w:p>
      <w:pPr>
        <w:bidi/>
        <w:jc w:val="right"/>
        <w:spacing w:after="140"/>
      </w:pPr>
      <w:r>
        <w:rPr>
          <w:sz w:val="24"/>
          <w:szCs w:val="24"/>
        </w:rPr>
        <w:t xml:space="preserve">18. كيف يستخدم الفرد وصاحب العمل والمستثمر هذا التحليل؟</w:t>
      </w:r>
    </w:p>
    <w:p>
      <w:pPr>
        <w:bidi/>
        <w:jc w:val="right"/>
        <w:spacing w:after="140"/>
      </w:pPr>
      <w:r>
        <w:rPr>
          <w:sz w:val="24"/>
          <w:szCs w:val="24"/>
        </w:rPr>
        <w:t xml:space="preserve">الفرد: راقب الدخل الحقيقي، وطوّر مهارة مرتبطة بقطاع يتحسن فعلاً.</w:t>
      </w:r>
    </w:p>
    <w:p>
      <w:pPr>
        <w:bidi/>
        <w:jc w:val="right"/>
        <w:spacing w:after="140"/>
      </w:pPr>
      <w:r>
        <w:rPr>
          <w:sz w:val="24"/>
          <w:szCs w:val="24"/>
        </w:rPr>
        <w:t xml:space="preserve">صاحب المشروع: افصل نمو الكمية عن نمو الأسعار، وراقب النقد لا الربح المحاسبي فقط.</w:t>
      </w:r>
    </w:p>
    <w:p>
      <w:pPr>
        <w:bidi/>
        <w:jc w:val="right"/>
        <w:spacing w:after="140"/>
      </w:pPr>
      <w:r>
        <w:rPr>
          <w:sz w:val="24"/>
          <w:szCs w:val="24"/>
        </w:rPr>
        <w:t xml:space="preserve">المستورد: اختبر الطلب والسعر الواصل ومخاطر العملة قبل الالتزام.</w:t>
      </w:r>
    </w:p>
    <w:p>
      <w:pPr>
        <w:bidi/>
        <w:jc w:val="right"/>
        <w:spacing w:after="140"/>
      </w:pPr>
      <w:r>
        <w:rPr>
          <w:sz w:val="24"/>
          <w:szCs w:val="24"/>
        </w:rPr>
        <w:t xml:space="preserve">المصدر: ابنِ الجودة والتوثيق والدفع الآمن قبل توسيع الأسواق.</w:t>
      </w:r>
    </w:p>
    <w:p>
      <w:pPr>
        <w:bidi/>
        <w:jc w:val="right"/>
        <w:spacing w:after="140"/>
      </w:pPr>
      <w:r>
        <w:rPr>
          <w:sz w:val="24"/>
          <w:szCs w:val="24"/>
        </w:rPr>
        <w:t xml:space="preserve">المستثمر: ابدأ بالعناية الواجبة والسيناريوهات، لا بالعناوين السياسية أو الوعود.</w:t>
      </w:r>
    </w:p>
    <w:p>
      <w:pPr>
        <w:bidi/>
        <w:jc w:val="right"/>
        <w:spacing w:after="140"/>
      </w:pPr>
      <w:r>
        <w:rPr>
          <w:sz w:val="24"/>
          <w:szCs w:val="24"/>
        </w:rPr>
        <w:t xml:space="preserve">صانع القرار: انشر بيانات قابلة للمقارنة، لأن الثقة تحتاج أرقاماً ومؤسسات.</w:t>
      </w:r>
    </w:p>
    <w:p>
      <w:pPr>
        <w:bidi/>
        <w:jc w:val="right"/>
        <w:spacing w:after="140"/>
      </w:pPr>
      <w:r>
        <w:rPr>
          <w:sz w:val="24"/>
          <w:szCs w:val="24"/>
        </w:rPr>
        <w:t xml:space="preserve">19. المصادر والمنهجية</w:t>
      </w:r>
    </w:p>
    <w:p>
      <w:pPr>
        <w:bidi/>
        <w:jc w:val="right"/>
        <w:spacing w:after="140"/>
      </w:pPr>
      <w:r>
        <w:rPr>
          <w:sz w:val="24"/>
          <w:szCs w:val="24"/>
        </w:rPr>
        <w:t xml:space="preserve">صندوق النقد الدولي: ختام زيارة بعثة سوريا، شباط 2026</w:t>
      </w:r>
    </w:p>
    <w:p>
      <w:pPr>
        <w:bidi/>
        <w:jc w:val="right"/>
        <w:spacing w:after="140"/>
      </w:pPr>
      <w:r>
        <w:rPr>
          <w:sz w:val="24"/>
          <w:szCs w:val="24"/>
        </w:rPr>
        <w:t xml:space="preserve">البنك الدولي: صفحة سوريا والتحديثات الاقتصادية</w:t>
      </w:r>
    </w:p>
    <w:p>
      <w:pPr>
        <w:bidi/>
        <w:jc w:val="right"/>
        <w:spacing w:after="140"/>
      </w:pPr>
      <w:r>
        <w:rPr>
          <w:sz w:val="24"/>
          <w:szCs w:val="24"/>
        </w:rPr>
        <w:t xml:space="preserve">تقييم الاقتصاد الكلي والمالية العامة في سوريا 2025</w:t>
      </w:r>
    </w:p>
    <w:p>
      <w:pPr>
        <w:bidi/>
        <w:jc w:val="right"/>
        <w:spacing w:after="140"/>
      </w:pPr>
      <w:r>
        <w:rPr>
          <w:sz w:val="24"/>
          <w:szCs w:val="24"/>
        </w:rPr>
        <w:t xml:space="preserve">البنك الدولي: تقدير تكلفة إعادة الإعمار</w:t>
      </w:r>
    </w:p>
    <w:p>
      <w:pPr>
        <w:bidi/>
        <w:jc w:val="right"/>
        <w:spacing w:after="140"/>
      </w:pPr>
      <w:r>
        <w:rPr>
          <w:sz w:val="24"/>
          <w:szCs w:val="24"/>
        </w:rPr>
        <w:t xml:space="preserve">البنك الدولي: مشروع إدارة المالية العامة 2026</w:t>
      </w:r>
    </w:p>
    <w:p>
      <w:pPr>
        <w:bidi/>
        <w:jc w:val="right"/>
        <w:spacing w:after="140"/>
      </w:pPr>
      <w:r>
        <w:rPr>
          <w:sz w:val="24"/>
          <w:szCs w:val="24"/>
        </w:rPr>
        <w:t xml:space="preserve">برنامج الأمم المتحدة الإنمائي: تقييم التعافي الاقتصادي</w:t>
      </w:r>
    </w:p>
    <w:p>
      <w:pPr>
        <w:bidi/>
        <w:jc w:val="right"/>
        <w:spacing w:after="140"/>
      </w:pPr>
      <w:r>
        <w:rPr>
          <w:sz w:val="24"/>
          <w:szCs w:val="24"/>
        </w:rPr>
        <w:t xml:space="preserve">التقرير السنوي لبرنامج الأمم المتحدة الإنمائي في سوريا 2025</w:t>
      </w:r>
    </w:p>
    <w:p>
      <w:pPr>
        <w:bidi/>
        <w:jc w:val="right"/>
        <w:spacing w:after="140"/>
      </w:pPr>
      <w:r>
        <w:rPr>
          <w:sz w:val="24"/>
          <w:szCs w:val="24"/>
        </w:rPr>
        <w:t xml:space="preserve">منظمة العمل الدولية: ملف مهارات العائدين 2026</w:t>
      </w:r>
    </w:p>
    <w:p>
      <w:pPr>
        <w:bidi/>
        <w:jc w:val="right"/>
        <w:spacing w:after="140"/>
      </w:pPr>
      <w:r>
        <w:rPr>
          <w:sz w:val="24"/>
          <w:szCs w:val="24"/>
        </w:rPr>
        <w:t xml:space="preserve">استراتيجية مصرف سوريا المركزي 2026–2030</w:t>
      </w:r>
    </w:p>
    <w:p>
      <w:pPr>
        <w:bidi/>
        <w:jc w:val="right"/>
        <w:spacing w:after="140"/>
      </w:pPr>
      <w:r>
        <w:rPr>
          <w:sz w:val="24"/>
          <w:szCs w:val="24"/>
        </w:rPr>
        <w:t xml:space="preserve">وزارة الاقتصاد: السوق المنظم والاقتصاد التنافسي</w:t>
      </w:r>
    </w:p>
    <w:p>
      <w:pPr>
        <w:bidi/>
        <w:jc w:val="right"/>
        <w:spacing w:after="140"/>
      </w:pPr>
      <w:r>
        <w:rPr>
          <w:sz w:val="24"/>
          <w:szCs w:val="24"/>
        </w:rPr>
        <w:t xml:space="preserve">20. أسئلة شائعة</w:t>
      </w:r>
    </w:p>
    <w:p>
      <w:pPr>
        <w:bidi/>
        <w:jc w:val="right"/>
        <w:spacing w:after="140"/>
      </w:pPr>
      <w:r>
        <w:rPr>
          <w:sz w:val="24"/>
          <w:szCs w:val="24"/>
        </w:rPr>
        <w:t xml:space="preserve">الخلاصة</w:t>
      </w:r>
    </w:p>
    <w:p>
      <w:pPr>
        <w:bidi/>
        <w:jc w:val="right"/>
        <w:spacing w:after="140"/>
      </w:pPr>
      <w:r>
        <w:rPr>
          <w:sz w:val="24"/>
          <w:szCs w:val="24"/>
        </w:rPr>
        <w:t xml:space="preserve">الصورة الأدق في 2026 هي اقتصاد بدأ يلتقط أنفاسه، لكن نقطة انطلاقه ضعيفة واحتياجاته ضخمة. المؤشرات الإيجابية—تباطؤ التضخم، تحسن الاتصال والطاقة، عودة النشاط والإصلاح المؤسسي—تستحق المتابعة، لكنها لا تلغي الفقر وضعف الائتمان وتضرر البنية التحتية ونقص البيانات. القرار الذكي يبنى على مصدر مؤرخ، ونطاقات وسيناريوهات، ومؤشرات محلية، وتدفق نقدي قادر على تحمل المفاجآت.</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الاقتصاد السوري في 2026: كيف تقرأ النمو والتضخم والليرة والاستثمار وإعادة الإعمار؟</dc:title>
  <dc:creator>Bsouria Editorial</dc:creator>
  <cp:lastModifiedBy>Bsouria</cp:lastModifiedBy>
  <dcterms:created xsi:type="dcterms:W3CDTF">2026-09-15T14:05:44Z</dcterms:created>
</cp:coreProperties>
</file>